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4D" w:rsidRDefault="001C2A4D" w:rsidP="001C2A4D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Kuzey Kıbrıs Türk Cumhuriyeti Cumhuriyet Meclisi’nin 24 Ekim 2022 tarihli Yedinci  Birleşiminde Oyçokluğuyla kabul olunan “</w:t>
      </w:r>
      <w:r w:rsidR="007C2CEA" w:rsidRPr="007C2CEA">
        <w:rPr>
          <w:rFonts w:ascii="Times New Roman" w:eastAsia="Calibri" w:hAnsi="Times New Roman" w:cs="Times New Roman"/>
          <w:sz w:val="24"/>
          <w:szCs w:val="24"/>
        </w:rPr>
        <w:t>Kozmetik Ürünleri (Değişiklik) Yasası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” Anayasanın 94'üncü maddesinin (1)'inci fıkrası gereğince Kuzey Kıbrıs Türk Cumhuriyeti Cumhurbaşkanı tarafından Resmi Gazete'de yayımlanmak suretiyle ilan olunur.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1C2A4D" w:rsidRDefault="001C2A4D" w:rsidP="001C2A4D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2A4D" w:rsidRDefault="001C2A4D" w:rsidP="001C2A4D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2A4D" w:rsidRDefault="001C2A4D" w:rsidP="001C2A4D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Sayı: 29/2022</w:t>
      </w:r>
    </w:p>
    <w:p w:rsidR="001C2A4D" w:rsidRDefault="001C2A4D" w:rsidP="001C2A4D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2A4D" w:rsidRDefault="001C2A4D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512"/>
        <w:gridCol w:w="630"/>
        <w:gridCol w:w="6354"/>
      </w:tblGrid>
      <w:tr w:rsidR="00717FB6" w:rsidRPr="00717FB6" w:rsidTr="00717FB6">
        <w:tc>
          <w:tcPr>
            <w:tcW w:w="9072" w:type="dxa"/>
            <w:gridSpan w:val="4"/>
            <w:hideMark/>
          </w:tcPr>
          <w:p w:rsidR="00717FB6" w:rsidRPr="00717FB6" w:rsidRDefault="00717FB6" w:rsidP="006848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7FB6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 xml:space="preserve">KOZMETİK ÜRÜNLERİ </w:t>
            </w:r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(DEĞİŞİKLİK) YASASI</w:t>
            </w:r>
          </w:p>
        </w:tc>
      </w:tr>
      <w:tr w:rsidR="00717FB6" w:rsidRPr="00717FB6" w:rsidTr="00717FB6">
        <w:tc>
          <w:tcPr>
            <w:tcW w:w="9072" w:type="dxa"/>
            <w:gridSpan w:val="4"/>
          </w:tcPr>
          <w:p w:rsidR="00717FB6" w:rsidRPr="00717FB6" w:rsidRDefault="00717FB6" w:rsidP="00717FB6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</w:tr>
      <w:tr w:rsidR="00717FB6" w:rsidRPr="00717FB6" w:rsidTr="00717FB6">
        <w:tc>
          <w:tcPr>
            <w:tcW w:w="9072" w:type="dxa"/>
            <w:gridSpan w:val="4"/>
          </w:tcPr>
          <w:p w:rsidR="00717FB6" w:rsidRPr="00717FB6" w:rsidRDefault="00717FB6" w:rsidP="00717FB6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</w:tr>
      <w:tr w:rsidR="00717FB6" w:rsidRPr="00717FB6" w:rsidTr="00717FB6">
        <w:tc>
          <w:tcPr>
            <w:tcW w:w="1576" w:type="dxa"/>
          </w:tcPr>
          <w:p w:rsidR="00717FB6" w:rsidRPr="00717FB6" w:rsidRDefault="00717FB6" w:rsidP="00717FB6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  <w:tc>
          <w:tcPr>
            <w:tcW w:w="7496" w:type="dxa"/>
            <w:gridSpan w:val="3"/>
            <w:hideMark/>
          </w:tcPr>
          <w:p w:rsidR="00717FB6" w:rsidRPr="00717FB6" w:rsidRDefault="00717FB6" w:rsidP="00717FB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      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Kuzey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Kıbrıs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Meclisi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aşağıdaki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Yasayı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yapar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717FB6" w:rsidRPr="00717FB6" w:rsidTr="00717FB6">
        <w:tc>
          <w:tcPr>
            <w:tcW w:w="1576" w:type="dxa"/>
          </w:tcPr>
          <w:p w:rsidR="00717FB6" w:rsidRPr="00717FB6" w:rsidRDefault="00717FB6" w:rsidP="00717FB6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  <w:tc>
          <w:tcPr>
            <w:tcW w:w="7496" w:type="dxa"/>
            <w:gridSpan w:val="3"/>
          </w:tcPr>
          <w:p w:rsidR="00717FB6" w:rsidRPr="00717FB6" w:rsidRDefault="00717FB6" w:rsidP="00717FB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717FB6" w:rsidRPr="00717FB6" w:rsidTr="00717FB6">
        <w:tc>
          <w:tcPr>
            <w:tcW w:w="1576" w:type="dxa"/>
            <w:hideMark/>
          </w:tcPr>
          <w:p w:rsidR="00717FB6" w:rsidRPr="00717FB6" w:rsidRDefault="00717FB6" w:rsidP="00717F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Kısa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İsim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  <w:p w:rsidR="00717FB6" w:rsidRPr="00717FB6" w:rsidRDefault="00717FB6" w:rsidP="00717F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23/2001</w:t>
            </w:r>
          </w:p>
          <w:p w:rsidR="00717FB6" w:rsidRPr="00717FB6" w:rsidRDefault="00717FB6" w:rsidP="00717F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</w:p>
        </w:tc>
        <w:tc>
          <w:tcPr>
            <w:tcW w:w="7496" w:type="dxa"/>
            <w:gridSpan w:val="3"/>
            <w:hideMark/>
          </w:tcPr>
          <w:p w:rsidR="00717FB6" w:rsidRPr="00717FB6" w:rsidRDefault="00717FB6" w:rsidP="00717FB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1. Bu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Kozmetik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Ürünleri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Değişiklik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)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Yasası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olarak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isimlendirilir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aşağıda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“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Esas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”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olarak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anılan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Kozmetik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Ürünleri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Yasası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ile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birlikte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okunur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  <w:tr w:rsidR="00717FB6" w:rsidRPr="00717FB6" w:rsidTr="00717FB6">
        <w:tc>
          <w:tcPr>
            <w:tcW w:w="1576" w:type="dxa"/>
          </w:tcPr>
          <w:p w:rsidR="00717FB6" w:rsidRPr="00717FB6" w:rsidRDefault="00717FB6" w:rsidP="00717F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7496" w:type="dxa"/>
            <w:gridSpan w:val="3"/>
          </w:tcPr>
          <w:p w:rsidR="00717FB6" w:rsidRPr="00717FB6" w:rsidRDefault="00717FB6" w:rsidP="00717FB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717FB6" w:rsidRPr="00717FB6" w:rsidTr="00717FB6">
        <w:trPr>
          <w:trHeight w:val="491"/>
        </w:trPr>
        <w:tc>
          <w:tcPr>
            <w:tcW w:w="1576" w:type="dxa"/>
            <w:hideMark/>
          </w:tcPr>
          <w:p w:rsidR="00717FB6" w:rsidRPr="00717FB6" w:rsidRDefault="00717FB6" w:rsidP="00717F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Esas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Yasanın</w:t>
            </w:r>
            <w:proofErr w:type="spellEnd"/>
          </w:p>
          <w:p w:rsidR="00717FB6" w:rsidRPr="00717FB6" w:rsidRDefault="00717FB6" w:rsidP="00717F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10’uncu</w:t>
            </w:r>
          </w:p>
        </w:tc>
        <w:tc>
          <w:tcPr>
            <w:tcW w:w="7496" w:type="dxa"/>
            <w:gridSpan w:val="3"/>
            <w:hideMark/>
          </w:tcPr>
          <w:p w:rsidR="00717FB6" w:rsidRPr="00717FB6" w:rsidRDefault="00717FB6" w:rsidP="00717FB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2.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Esas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10’uncu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maddesinin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(2)’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nci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fıkrası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kaldırılmak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yerine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aşağıdaki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yeni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(2)’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nci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fıkra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konmak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suretiyle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değiştirilir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717FB6" w:rsidRPr="00717FB6" w:rsidTr="00717FB6">
        <w:tc>
          <w:tcPr>
            <w:tcW w:w="1576" w:type="dxa"/>
            <w:hideMark/>
          </w:tcPr>
          <w:p w:rsidR="00717FB6" w:rsidRPr="00717FB6" w:rsidRDefault="00717FB6" w:rsidP="00717F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Maddesinin</w:t>
            </w:r>
            <w:proofErr w:type="spellEnd"/>
          </w:p>
        </w:tc>
        <w:tc>
          <w:tcPr>
            <w:tcW w:w="7496" w:type="dxa"/>
            <w:gridSpan w:val="3"/>
          </w:tcPr>
          <w:p w:rsidR="00717FB6" w:rsidRPr="00717FB6" w:rsidRDefault="00717FB6" w:rsidP="00717FB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717FB6" w:rsidRPr="00717FB6" w:rsidTr="00717FB6">
        <w:tc>
          <w:tcPr>
            <w:tcW w:w="1576" w:type="dxa"/>
            <w:hideMark/>
          </w:tcPr>
          <w:p w:rsidR="00717FB6" w:rsidRPr="00717FB6" w:rsidRDefault="00717FB6" w:rsidP="00717F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Değiştirilmesi</w:t>
            </w:r>
            <w:proofErr w:type="spellEnd"/>
          </w:p>
        </w:tc>
        <w:tc>
          <w:tcPr>
            <w:tcW w:w="512" w:type="dxa"/>
          </w:tcPr>
          <w:p w:rsidR="00717FB6" w:rsidRPr="00717FB6" w:rsidRDefault="00717FB6" w:rsidP="00717FB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30" w:type="dxa"/>
            <w:hideMark/>
          </w:tcPr>
          <w:p w:rsidR="00717FB6" w:rsidRPr="00717FB6" w:rsidRDefault="00717FB6" w:rsidP="00717F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“(2)</w:t>
            </w:r>
          </w:p>
        </w:tc>
        <w:tc>
          <w:tcPr>
            <w:tcW w:w="6354" w:type="dxa"/>
            <w:hideMark/>
          </w:tcPr>
          <w:p w:rsidR="00717FB6" w:rsidRPr="00717FB6" w:rsidRDefault="00717FB6" w:rsidP="00717FB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Her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üretici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firma,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eczacı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kimyager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kimya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mühendisi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biyolog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veya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mikrobiyolog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olan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yukarıdaki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(1)’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inci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fıkranın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(A)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bendinde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belirtilen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teknik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istihdam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etmek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zorundadır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.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teknik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kozmetik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ürünü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üretimi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kalitesinden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sorumludur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.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teknik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personelin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görevinden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ayrılması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halinde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üretici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firma, on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gün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içinde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Bakanlığa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bilgi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vermek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yerine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atayacağı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yeni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teknik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yukardaki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(1)’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inci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fıkranın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(A)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bendinde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öngörülen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belgelerle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birlikte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bildirmek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zorundadır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.”</w:t>
            </w:r>
          </w:p>
        </w:tc>
      </w:tr>
      <w:tr w:rsidR="00717FB6" w:rsidRPr="00717FB6" w:rsidTr="00717FB6">
        <w:tc>
          <w:tcPr>
            <w:tcW w:w="1576" w:type="dxa"/>
          </w:tcPr>
          <w:p w:rsidR="00717FB6" w:rsidRPr="00717FB6" w:rsidRDefault="00717FB6" w:rsidP="00717F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7496" w:type="dxa"/>
            <w:gridSpan w:val="3"/>
          </w:tcPr>
          <w:p w:rsidR="00717FB6" w:rsidRPr="00717FB6" w:rsidRDefault="00717FB6" w:rsidP="00717FB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717FB6" w:rsidRPr="00717FB6" w:rsidTr="00717FB6">
        <w:tc>
          <w:tcPr>
            <w:tcW w:w="1576" w:type="dxa"/>
            <w:hideMark/>
          </w:tcPr>
          <w:p w:rsidR="00717FB6" w:rsidRPr="00717FB6" w:rsidRDefault="00717FB6" w:rsidP="00717F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Yürürlüğe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Giriş</w:t>
            </w:r>
            <w:proofErr w:type="spellEnd"/>
          </w:p>
        </w:tc>
        <w:tc>
          <w:tcPr>
            <w:tcW w:w="7496" w:type="dxa"/>
            <w:gridSpan w:val="3"/>
            <w:hideMark/>
          </w:tcPr>
          <w:p w:rsidR="00717FB6" w:rsidRPr="00717FB6" w:rsidRDefault="00717FB6" w:rsidP="00717FB6">
            <w:pPr>
              <w:rPr>
                <w:rFonts w:ascii="Times New Roman" w:eastAsia="Times New Roman" w:hAnsi="Times New Roman"/>
                <w:lang w:val="en-US"/>
              </w:rPr>
            </w:pPr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3. Bu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Resmi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Gazete’de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yayımlandığı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tarihten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başlayarak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yürürlüğe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girer</w:t>
            </w:r>
            <w:proofErr w:type="spellEnd"/>
            <w:r w:rsidRPr="00717FB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</w:tbl>
    <w:p w:rsidR="00717FB6" w:rsidRPr="00717FB6" w:rsidRDefault="00717FB6" w:rsidP="00717FB6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717FB6" w:rsidRPr="00717FB6" w:rsidRDefault="00717FB6" w:rsidP="00717FB6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680F" w:rsidRPr="007B79F6" w:rsidRDefault="008C680F">
      <w:pPr>
        <w:rPr>
          <w:sz w:val="26"/>
          <w:szCs w:val="26"/>
        </w:rPr>
      </w:pPr>
    </w:p>
    <w:sectPr w:rsidR="008C680F" w:rsidRPr="007B7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0F"/>
    <w:rsid w:val="00045D2B"/>
    <w:rsid w:val="000B340B"/>
    <w:rsid w:val="001034EF"/>
    <w:rsid w:val="001A184A"/>
    <w:rsid w:val="001C2A4D"/>
    <w:rsid w:val="001F1164"/>
    <w:rsid w:val="002C3659"/>
    <w:rsid w:val="00402E8A"/>
    <w:rsid w:val="005A10F8"/>
    <w:rsid w:val="005B2F3A"/>
    <w:rsid w:val="005F5C6A"/>
    <w:rsid w:val="006732CD"/>
    <w:rsid w:val="00673AA6"/>
    <w:rsid w:val="00684800"/>
    <w:rsid w:val="00686E67"/>
    <w:rsid w:val="00717FB6"/>
    <w:rsid w:val="007A1E0F"/>
    <w:rsid w:val="007B79F6"/>
    <w:rsid w:val="007C2CEA"/>
    <w:rsid w:val="008C680F"/>
    <w:rsid w:val="0091417C"/>
    <w:rsid w:val="00975671"/>
    <w:rsid w:val="009F002D"/>
    <w:rsid w:val="00A13964"/>
    <w:rsid w:val="00A91782"/>
    <w:rsid w:val="00AC098D"/>
    <w:rsid w:val="00B36F60"/>
    <w:rsid w:val="00C409E6"/>
    <w:rsid w:val="00D06385"/>
    <w:rsid w:val="00D2277E"/>
    <w:rsid w:val="00D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F6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17FB6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F6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17FB6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Sinem01 Demirgil</dc:creator>
  <cp:lastModifiedBy>Sinem01 Demirgil</cp:lastModifiedBy>
  <cp:revision>4</cp:revision>
  <cp:lastPrinted>2022-07-07T12:56:00Z</cp:lastPrinted>
  <dcterms:created xsi:type="dcterms:W3CDTF">2022-11-07T13:32:00Z</dcterms:created>
  <dcterms:modified xsi:type="dcterms:W3CDTF">2022-11-07T13:37:00Z</dcterms:modified>
</cp:coreProperties>
</file>