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659"/>
        <w:gridCol w:w="659"/>
        <w:gridCol w:w="6394"/>
      </w:tblGrid>
      <w:tr w:rsidR="00F36CFF" w:rsidRPr="0039129C" w14:paraId="3F52466D" w14:textId="77777777" w:rsidTr="001523A9">
        <w:tc>
          <w:tcPr>
            <w:tcW w:w="9288" w:type="dxa"/>
            <w:gridSpan w:val="4"/>
          </w:tcPr>
          <w:p w14:paraId="5B5FAC5F" w14:textId="70B9F438" w:rsidR="00C92D0B" w:rsidRPr="00C92D0B" w:rsidRDefault="00C92D0B" w:rsidP="00C92D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0B">
              <w:rPr>
                <w:rFonts w:ascii="Times New Roman" w:hAnsi="Times New Roman" w:cs="Times New Roman"/>
                <w:sz w:val="24"/>
                <w:szCs w:val="24"/>
              </w:rPr>
              <w:t xml:space="preserve">Kuzey Kıbrıs Türk Cumhuriyeti Cumhuriyet Meclisi'nin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Mayıs</w:t>
            </w:r>
            <w:r w:rsidRPr="00C92D0B">
              <w:rPr>
                <w:rFonts w:ascii="Times New Roman" w:hAnsi="Times New Roman" w:cs="Times New Roman"/>
                <w:sz w:val="24"/>
                <w:szCs w:val="24"/>
              </w:rPr>
              <w:t xml:space="preserve"> 2024 tarihli Elli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Altıncı</w:t>
            </w:r>
            <w:r w:rsidRPr="00C92D0B">
              <w:rPr>
                <w:rFonts w:ascii="Times New Roman" w:hAnsi="Times New Roman" w:cs="Times New Roman"/>
                <w:sz w:val="24"/>
                <w:szCs w:val="24"/>
              </w:rPr>
              <w:t xml:space="preserve"> Birleşiminde Oyçokluğuyla kabul olunan "</w:t>
            </w:r>
            <w:r w:rsidR="002C618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Sözleşmeler (Değişiklik) Yasası</w:t>
            </w:r>
            <w:bookmarkStart w:id="0" w:name="_GoBack"/>
            <w:bookmarkEnd w:id="0"/>
            <w:r w:rsidRPr="00C92D0B">
              <w:rPr>
                <w:rFonts w:ascii="Times New Roman" w:hAnsi="Times New Roman" w:cs="Times New Roman"/>
                <w:sz w:val="24"/>
                <w:szCs w:val="24"/>
              </w:rPr>
              <w:t xml:space="preserve">" Anayasanın 94'üncü maddesinin (l)'inci fıkrası gereğince Kuzey Kıbrıs Türk Cumhuriyeti Cumhurbaşkanı tarafından Resmi </w:t>
            </w:r>
            <w:proofErr w:type="spellStart"/>
            <w:r w:rsidRPr="00C92D0B">
              <w:rPr>
                <w:rFonts w:ascii="Times New Roman" w:hAnsi="Times New Roman" w:cs="Times New Roman"/>
                <w:sz w:val="24"/>
                <w:szCs w:val="24"/>
              </w:rPr>
              <w:t>Gazete'de</w:t>
            </w:r>
            <w:proofErr w:type="spellEnd"/>
            <w:r w:rsidRPr="00C92D0B">
              <w:rPr>
                <w:rFonts w:ascii="Times New Roman" w:hAnsi="Times New Roman" w:cs="Times New Roman"/>
                <w:sz w:val="24"/>
                <w:szCs w:val="24"/>
              </w:rPr>
              <w:t xml:space="preserve"> yayımlanmak suretiyle ilan olunur.</w:t>
            </w:r>
          </w:p>
          <w:p w14:paraId="49182BB9" w14:textId="0355D70D" w:rsidR="0000020D" w:rsidRPr="0039129C" w:rsidRDefault="0000020D" w:rsidP="00C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0B" w:rsidRPr="0039129C" w14:paraId="2901A329" w14:textId="77777777" w:rsidTr="001523A9">
        <w:tc>
          <w:tcPr>
            <w:tcW w:w="9288" w:type="dxa"/>
            <w:gridSpan w:val="4"/>
          </w:tcPr>
          <w:p w14:paraId="4EE4579B" w14:textId="1A044C10" w:rsidR="00C92D0B" w:rsidRPr="0039129C" w:rsidRDefault="00C92D0B" w:rsidP="00C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0B">
              <w:rPr>
                <w:rFonts w:ascii="Times New Roman" w:hAnsi="Times New Roman" w:cs="Times New Roman"/>
                <w:sz w:val="24"/>
                <w:szCs w:val="24"/>
              </w:rPr>
              <w:t xml:space="preserve">Sayı: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92D0B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C92D0B" w:rsidRPr="0039129C" w14:paraId="528D1181" w14:textId="77777777" w:rsidTr="001523A9">
        <w:tc>
          <w:tcPr>
            <w:tcW w:w="9288" w:type="dxa"/>
            <w:gridSpan w:val="4"/>
          </w:tcPr>
          <w:p w14:paraId="067506A8" w14:textId="77777777" w:rsidR="00C92D0B" w:rsidRPr="00C92D0B" w:rsidRDefault="00C92D0B" w:rsidP="00C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0B" w:rsidRPr="0039129C" w14:paraId="077586C0" w14:textId="77777777" w:rsidTr="001523A9">
        <w:tc>
          <w:tcPr>
            <w:tcW w:w="9288" w:type="dxa"/>
            <w:gridSpan w:val="4"/>
          </w:tcPr>
          <w:p w14:paraId="10A05828" w14:textId="77777777" w:rsidR="00C92D0B" w:rsidRDefault="00C92D0B" w:rsidP="00C92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SÖZLEŞMELER (DEĞİŞİKLİK) YASASI</w:t>
            </w:r>
          </w:p>
          <w:p w14:paraId="21C7C24B" w14:textId="77777777" w:rsidR="00C92D0B" w:rsidRDefault="00C92D0B" w:rsidP="00000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56" w:rsidRPr="0039129C" w14:paraId="1ADACCFD" w14:textId="77777777" w:rsidTr="001523A9">
        <w:tc>
          <w:tcPr>
            <w:tcW w:w="1576" w:type="dxa"/>
          </w:tcPr>
          <w:p w14:paraId="5EC64786" w14:textId="0C22BD74" w:rsidR="00133256" w:rsidRPr="0039129C" w:rsidRDefault="00133256" w:rsidP="002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2" w:type="dxa"/>
            <w:gridSpan w:val="3"/>
          </w:tcPr>
          <w:p w14:paraId="3854A166" w14:textId="2AFBC9F1" w:rsidR="00133256" w:rsidRDefault="00133256" w:rsidP="00133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E64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>Kuzey Kıbrıs Türk Cumhuriyeti Cumhuriyet Meclisi aşağıdaki Yasayı yapar:</w:t>
            </w:r>
          </w:p>
          <w:p w14:paraId="7A15368E" w14:textId="29518B2A" w:rsidR="00133256" w:rsidRPr="0039129C" w:rsidRDefault="00133256" w:rsidP="00251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256" w:rsidRPr="0039129C" w14:paraId="5CB49961" w14:textId="77777777" w:rsidTr="001523A9">
        <w:tc>
          <w:tcPr>
            <w:tcW w:w="1576" w:type="dxa"/>
          </w:tcPr>
          <w:p w14:paraId="56F6D2DC" w14:textId="77777777" w:rsidR="00133256" w:rsidRPr="0039129C" w:rsidRDefault="00133256" w:rsidP="0025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>Kısa İsim</w:t>
            </w:r>
          </w:p>
          <w:p w14:paraId="560430AA" w14:textId="32459E8A" w:rsidR="00133256" w:rsidRPr="0039129C" w:rsidRDefault="003021DA" w:rsidP="0025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Fasıl</w:t>
            </w:r>
            <w:r w:rsidR="00133256" w:rsidRPr="0039129C">
              <w:rPr>
                <w:rFonts w:ascii="Times New Roman" w:hAnsi="Times New Roman" w:cs="Times New Roman"/>
                <w:sz w:val="24"/>
                <w:szCs w:val="24"/>
              </w:rPr>
              <w:t xml:space="preserve"> 149</w:t>
            </w:r>
          </w:p>
          <w:p w14:paraId="05DF3EE7" w14:textId="3D856AB9" w:rsidR="008A253D" w:rsidRDefault="001523A9" w:rsidP="002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340C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133256" w:rsidRPr="0039129C">
              <w:rPr>
                <w:rFonts w:ascii="Times New Roman" w:hAnsi="Times New Roman" w:cs="Times New Roman"/>
                <w:sz w:val="24"/>
                <w:szCs w:val="24"/>
              </w:rPr>
              <w:t xml:space="preserve"> 6/1959 </w:t>
            </w:r>
          </w:p>
          <w:p w14:paraId="79CBD56D" w14:textId="7A2D9D47" w:rsidR="00133256" w:rsidRPr="0039129C" w:rsidRDefault="008A253D" w:rsidP="008A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23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256" w:rsidRPr="0039129C">
              <w:rPr>
                <w:rFonts w:ascii="Times New Roman" w:hAnsi="Times New Roman" w:cs="Times New Roman"/>
                <w:sz w:val="24"/>
                <w:szCs w:val="24"/>
              </w:rPr>
              <w:t>21/1989</w:t>
            </w:r>
          </w:p>
          <w:p w14:paraId="1BC7B77A" w14:textId="77777777" w:rsidR="00133256" w:rsidRPr="0039129C" w:rsidRDefault="00133256" w:rsidP="00251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2" w:type="dxa"/>
            <w:gridSpan w:val="3"/>
          </w:tcPr>
          <w:p w14:paraId="5C0525D8" w14:textId="49A3F42F" w:rsidR="00133256" w:rsidRPr="0039129C" w:rsidRDefault="00133256" w:rsidP="0013325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</w:t>
            </w:r>
            <w:r w:rsidRPr="00391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u Yasa, Sözleşmeler (Değişiklik) Yasası olarak isimlendirilir ve </w:t>
            </w: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 xml:space="preserve">aşağıda “Esas Yasa” olarak anılan </w:t>
            </w:r>
            <w:r w:rsidRPr="00391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Sözleşmeler Yasası ile birlikte okunur.</w:t>
            </w:r>
          </w:p>
          <w:p w14:paraId="4C89C76E" w14:textId="77777777" w:rsidR="00133256" w:rsidRPr="0039129C" w:rsidRDefault="00133256" w:rsidP="00EE6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256" w:rsidRPr="0039129C" w14:paraId="246AC788" w14:textId="77777777" w:rsidTr="001523A9">
        <w:tc>
          <w:tcPr>
            <w:tcW w:w="1576" w:type="dxa"/>
          </w:tcPr>
          <w:p w14:paraId="176D16F3" w14:textId="7CC5FEF5" w:rsidR="00133256" w:rsidRPr="0039129C" w:rsidRDefault="00133256" w:rsidP="00E9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Esas Yasa</w:t>
            </w: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 xml:space="preserve">nın 10’uncu Maddesinin </w:t>
            </w:r>
          </w:p>
        </w:tc>
        <w:tc>
          <w:tcPr>
            <w:tcW w:w="7712" w:type="dxa"/>
            <w:gridSpan w:val="3"/>
          </w:tcPr>
          <w:p w14:paraId="21C88388" w14:textId="553F2A00" w:rsidR="00133256" w:rsidRPr="0039129C" w:rsidRDefault="00133256" w:rsidP="000C2C5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Esas Yasa, 10’uncu maddesinin 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Pr="00391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)’nci fıkrası</w:t>
            </w:r>
            <w:r w:rsidR="003021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ndan hemen sonra aşağıdaki yeni </w:t>
            </w:r>
            <w:r w:rsidRPr="00391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="003021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391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)’</w:t>
            </w:r>
            <w:r w:rsidR="003021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üncü</w:t>
            </w:r>
            <w:r w:rsidRPr="00391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fıkr</w:t>
            </w:r>
            <w:r w:rsidR="008A25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 </w:t>
            </w:r>
            <w:r w:rsidR="000C2C5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eklenmek</w:t>
            </w:r>
            <w:r w:rsidR="008A253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suretiyle değiştirilir:</w:t>
            </w:r>
          </w:p>
        </w:tc>
      </w:tr>
      <w:tr w:rsidR="003021DA" w:rsidRPr="0039129C" w14:paraId="7EEB7165" w14:textId="77777777" w:rsidTr="003021DA">
        <w:trPr>
          <w:trHeight w:val="248"/>
        </w:trPr>
        <w:tc>
          <w:tcPr>
            <w:tcW w:w="1576" w:type="dxa"/>
            <w:vMerge w:val="restart"/>
          </w:tcPr>
          <w:p w14:paraId="4997FCF9" w14:textId="66EDACE2" w:rsidR="003021DA" w:rsidRPr="0039129C" w:rsidRDefault="003021DA" w:rsidP="00E9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>Değiştirilmesi</w:t>
            </w:r>
          </w:p>
          <w:p w14:paraId="66D0C1D5" w14:textId="77777777" w:rsidR="003021DA" w:rsidRPr="0039129C" w:rsidRDefault="003021DA" w:rsidP="008D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8FF5D" w14:textId="77777777" w:rsidR="003021DA" w:rsidRPr="0039129C" w:rsidRDefault="003021DA" w:rsidP="008D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97DB4" w14:textId="77777777" w:rsidR="003021DA" w:rsidRPr="0039129C" w:rsidRDefault="003021DA" w:rsidP="008D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86A63" w14:textId="77777777" w:rsidR="003021DA" w:rsidRPr="0039129C" w:rsidRDefault="003021DA" w:rsidP="008D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2F85B" w14:textId="70DECC19" w:rsidR="003021DA" w:rsidRPr="0039129C" w:rsidRDefault="003021DA" w:rsidP="008D419E">
            <w:pPr>
              <w:tabs>
                <w:tab w:val="left" w:pos="13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14:paraId="3D9AFA84" w14:textId="42B9D859" w:rsidR="003021DA" w:rsidRPr="0039129C" w:rsidRDefault="003021DA" w:rsidP="001523A9">
            <w:pPr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59" w:type="dxa"/>
          </w:tcPr>
          <w:p w14:paraId="4218B72D" w14:textId="374241AD" w:rsidR="003021DA" w:rsidRPr="0039129C" w:rsidRDefault="003021DA" w:rsidP="003021DA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“</w:t>
            </w:r>
            <w:r w:rsidRPr="00391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  <w:r w:rsidRPr="003912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6394" w:type="dxa"/>
            <w:vMerge w:val="restart"/>
          </w:tcPr>
          <w:p w14:paraId="70155F07" w14:textId="19962F81" w:rsidR="003021DA" w:rsidRPr="001C0440" w:rsidRDefault="00DA31F5" w:rsidP="00DA3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Taraflar</w:t>
            </w:r>
            <w:r w:rsidR="0036041D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ın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 xml:space="preserve">dan en az biri yabancı olan, </w:t>
            </w:r>
            <w:r w:rsidR="003021DA" w:rsidRPr="00B97262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taşınmaz mal alımına ilişkin yapılacak sözleşmeler</w:t>
            </w:r>
            <w:r w:rsidR="003021DA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,</w:t>
            </w:r>
            <w:r w:rsidR="003021DA" w:rsidRPr="00B97262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 xml:space="preserve"> Taşınmaz Mal Edinme ve Uzun Vadeli Kiralama (Yabancılar) Yasasında yer alan kısıtlamalara tabidir. Söz</w:t>
            </w:r>
            <w:r w:rsidR="003021DA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3021DA" w:rsidRPr="00B97262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konusu sözleşmeler</w:t>
            </w:r>
            <w:r w:rsidR="00A37831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,</w:t>
            </w:r>
            <w:r w:rsidR="003021DA" w:rsidRPr="00B97262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="003021DA" w:rsidRPr="001C044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75 (yetmiş beş) iş günü içerisinde ilgili İlçe Tapu Amirliğine kaydedilmemesi durumunda geçersiz</w:t>
            </w:r>
            <w:r w:rsidR="003021DA" w:rsidRPr="00B97262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 xml:space="preserve"> hale gelir.”</w:t>
            </w:r>
          </w:p>
        </w:tc>
      </w:tr>
      <w:tr w:rsidR="003021DA" w:rsidRPr="0039129C" w14:paraId="4CC89712" w14:textId="77777777" w:rsidTr="001C0440">
        <w:trPr>
          <w:trHeight w:val="1244"/>
        </w:trPr>
        <w:tc>
          <w:tcPr>
            <w:tcW w:w="1576" w:type="dxa"/>
            <w:vMerge/>
          </w:tcPr>
          <w:p w14:paraId="701BD6CE" w14:textId="77777777" w:rsidR="003021DA" w:rsidRPr="0039129C" w:rsidRDefault="003021DA" w:rsidP="00E9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358A8D14" w14:textId="294C4BD2" w:rsidR="003021DA" w:rsidRDefault="003021DA" w:rsidP="003021DA">
            <w:pPr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>52/2008</w:t>
            </w:r>
          </w:p>
        </w:tc>
        <w:tc>
          <w:tcPr>
            <w:tcW w:w="6394" w:type="dxa"/>
            <w:vMerge/>
          </w:tcPr>
          <w:p w14:paraId="1F52F689" w14:textId="77777777" w:rsidR="003021DA" w:rsidRDefault="003021DA" w:rsidP="001332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1C0440" w:rsidRPr="0039129C" w14:paraId="19C04130" w14:textId="77777777" w:rsidTr="001C0440">
        <w:trPr>
          <w:trHeight w:val="66"/>
        </w:trPr>
        <w:tc>
          <w:tcPr>
            <w:tcW w:w="1576" w:type="dxa"/>
          </w:tcPr>
          <w:p w14:paraId="68A4BFCE" w14:textId="77777777" w:rsidR="001C0440" w:rsidRPr="0039129C" w:rsidRDefault="001C0440" w:rsidP="00E9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14:paraId="135F39A7" w14:textId="77777777" w:rsidR="001C0440" w:rsidRPr="0039129C" w:rsidRDefault="001C0440" w:rsidP="00302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14:paraId="47336541" w14:textId="77777777" w:rsidR="001C0440" w:rsidRDefault="001C0440" w:rsidP="001332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E936DA" w:rsidRPr="0039129C" w14:paraId="3D44D4A2" w14:textId="77777777" w:rsidTr="001523A9">
        <w:tc>
          <w:tcPr>
            <w:tcW w:w="1576" w:type="dxa"/>
          </w:tcPr>
          <w:p w14:paraId="296A3896" w14:textId="77777777" w:rsidR="00E936DA" w:rsidRPr="0039129C" w:rsidRDefault="00E936DA" w:rsidP="00251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>Yürürlüğe Giriş</w:t>
            </w:r>
          </w:p>
        </w:tc>
        <w:tc>
          <w:tcPr>
            <w:tcW w:w="7712" w:type="dxa"/>
            <w:gridSpan w:val="3"/>
          </w:tcPr>
          <w:p w14:paraId="6C5613DC" w14:textId="3E68701D" w:rsidR="00E936DA" w:rsidRPr="0039129C" w:rsidRDefault="00E936DA" w:rsidP="000C2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>Bu Yasa,</w:t>
            </w:r>
            <w:r w:rsidR="007F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9129C">
              <w:rPr>
                <w:rFonts w:ascii="Times New Roman" w:hAnsi="Times New Roman" w:cs="Times New Roman"/>
                <w:sz w:val="24"/>
                <w:szCs w:val="24"/>
              </w:rPr>
              <w:t xml:space="preserve">Resmi </w:t>
            </w:r>
            <w:r w:rsidR="007F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>Gazete’de</w:t>
            </w:r>
            <w:proofErr w:type="gramEnd"/>
            <w:r w:rsidRPr="00391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>yayımlandığı</w:t>
            </w:r>
            <w:r w:rsidR="007F4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 xml:space="preserve"> tarihten </w:t>
            </w:r>
            <w:r w:rsidR="000C2C56">
              <w:rPr>
                <w:rFonts w:ascii="Times New Roman" w:hAnsi="Times New Roman" w:cs="Times New Roman"/>
                <w:sz w:val="24"/>
                <w:szCs w:val="24"/>
              </w:rPr>
              <w:t>başlayarak</w:t>
            </w:r>
            <w:r w:rsidRPr="0039129C">
              <w:rPr>
                <w:rFonts w:ascii="Times New Roman" w:hAnsi="Times New Roman" w:cs="Times New Roman"/>
                <w:sz w:val="24"/>
                <w:szCs w:val="24"/>
              </w:rPr>
              <w:t xml:space="preserve"> yürürlüğe girer.</w:t>
            </w:r>
          </w:p>
        </w:tc>
      </w:tr>
    </w:tbl>
    <w:p w14:paraId="149E327B" w14:textId="77777777" w:rsidR="00F36CFF" w:rsidRPr="0039129C" w:rsidRDefault="00F36CFF" w:rsidP="00803A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6CFF" w:rsidRPr="00391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6A"/>
    <w:rsid w:val="0000020D"/>
    <w:rsid w:val="00053974"/>
    <w:rsid w:val="000C2C56"/>
    <w:rsid w:val="000E5A04"/>
    <w:rsid w:val="00133256"/>
    <w:rsid w:val="00142FB9"/>
    <w:rsid w:val="0015163D"/>
    <w:rsid w:val="001523A9"/>
    <w:rsid w:val="001721EB"/>
    <w:rsid w:val="001C0440"/>
    <w:rsid w:val="00231357"/>
    <w:rsid w:val="002326A9"/>
    <w:rsid w:val="002479A1"/>
    <w:rsid w:val="00247F8E"/>
    <w:rsid w:val="0025107B"/>
    <w:rsid w:val="00262F21"/>
    <w:rsid w:val="00263443"/>
    <w:rsid w:val="002C6182"/>
    <w:rsid w:val="002F6777"/>
    <w:rsid w:val="003021DA"/>
    <w:rsid w:val="00347515"/>
    <w:rsid w:val="0036041D"/>
    <w:rsid w:val="0039129C"/>
    <w:rsid w:val="00392904"/>
    <w:rsid w:val="00397773"/>
    <w:rsid w:val="003B66CD"/>
    <w:rsid w:val="00414F37"/>
    <w:rsid w:val="004244BF"/>
    <w:rsid w:val="00453BAC"/>
    <w:rsid w:val="00530E4D"/>
    <w:rsid w:val="005870B8"/>
    <w:rsid w:val="005B7A47"/>
    <w:rsid w:val="00675D4D"/>
    <w:rsid w:val="0068385B"/>
    <w:rsid w:val="006E69AF"/>
    <w:rsid w:val="006F340C"/>
    <w:rsid w:val="00795FF0"/>
    <w:rsid w:val="007F459E"/>
    <w:rsid w:val="00803A7B"/>
    <w:rsid w:val="0080776F"/>
    <w:rsid w:val="008222D5"/>
    <w:rsid w:val="00854B24"/>
    <w:rsid w:val="008A253D"/>
    <w:rsid w:val="008D3A6E"/>
    <w:rsid w:val="008D419E"/>
    <w:rsid w:val="008E0502"/>
    <w:rsid w:val="009269C5"/>
    <w:rsid w:val="00967257"/>
    <w:rsid w:val="009727CD"/>
    <w:rsid w:val="009D13FD"/>
    <w:rsid w:val="009E7CBB"/>
    <w:rsid w:val="00A37831"/>
    <w:rsid w:val="00A443DD"/>
    <w:rsid w:val="00A84817"/>
    <w:rsid w:val="00AA3461"/>
    <w:rsid w:val="00AE64D2"/>
    <w:rsid w:val="00AE763B"/>
    <w:rsid w:val="00B11A00"/>
    <w:rsid w:val="00B97262"/>
    <w:rsid w:val="00BE0D43"/>
    <w:rsid w:val="00C16D19"/>
    <w:rsid w:val="00C23889"/>
    <w:rsid w:val="00C23CAD"/>
    <w:rsid w:val="00C92D0B"/>
    <w:rsid w:val="00DA31F5"/>
    <w:rsid w:val="00E936DA"/>
    <w:rsid w:val="00EC4D3E"/>
    <w:rsid w:val="00ED5AD6"/>
    <w:rsid w:val="00EE68F7"/>
    <w:rsid w:val="00F1682D"/>
    <w:rsid w:val="00F265AF"/>
    <w:rsid w:val="00F36CFF"/>
    <w:rsid w:val="00F4266A"/>
    <w:rsid w:val="00F459EC"/>
    <w:rsid w:val="00F64892"/>
    <w:rsid w:val="00F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2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347515"/>
    <w:rPr>
      <w:b/>
      <w:bCs/>
    </w:rPr>
  </w:style>
  <w:style w:type="paragraph" w:styleId="ListParagraph">
    <w:name w:val="List Paragraph"/>
    <w:basedOn w:val="Normal"/>
    <w:uiPriority w:val="34"/>
    <w:qFormat/>
    <w:rsid w:val="00133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347515"/>
    <w:rPr>
      <w:b/>
      <w:bCs/>
    </w:rPr>
  </w:style>
  <w:style w:type="paragraph" w:styleId="ListParagraph">
    <w:name w:val="List Paragraph"/>
    <w:basedOn w:val="Normal"/>
    <w:uiPriority w:val="34"/>
    <w:qFormat/>
    <w:rsid w:val="00133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Gürkan Artun</cp:lastModifiedBy>
  <cp:revision>3</cp:revision>
  <cp:lastPrinted>2024-05-15T10:22:00Z</cp:lastPrinted>
  <dcterms:created xsi:type="dcterms:W3CDTF">2024-05-21T12:35:00Z</dcterms:created>
  <dcterms:modified xsi:type="dcterms:W3CDTF">2024-05-21T12:40:00Z</dcterms:modified>
</cp:coreProperties>
</file>