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1" w:rsidRDefault="00E76D31" w:rsidP="00E76D31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Kuzey Kıbrıs Türk Cumhuriyeti Cumhuriyet Meclisi’nin 7 Aralık 2023 tarihli </w:t>
      </w:r>
      <w:proofErr w:type="spellStart"/>
      <w:r>
        <w:rPr>
          <w:rFonts w:ascii="Times New Roman" w:hAnsi="Times New Roman"/>
          <w:sz w:val="24"/>
          <w:szCs w:val="24"/>
        </w:rPr>
        <w:t>Onbeşinci</w:t>
      </w:r>
      <w:proofErr w:type="spellEnd"/>
      <w:r>
        <w:rPr>
          <w:rFonts w:ascii="Times New Roman" w:hAnsi="Times New Roman"/>
          <w:sz w:val="24"/>
          <w:szCs w:val="24"/>
        </w:rPr>
        <w:t xml:space="preserve"> Birleşiminde Oybirliğiyle kabul olunan “Cumhuriyet Meclisi Genel Sekreterliği Örgütü (Kuruluş, Görev ve Yönetim İlkeleri) (Değişiklik No:2) Yasası” Anayasanın 94’üncü maddesinin (1)’inci fıkrası gereğince Kuzey Kıbrıs Türk Cumhuriyeti Cumhurbaşkanı tarafından Resmi </w:t>
      </w:r>
      <w:proofErr w:type="spellStart"/>
      <w:r>
        <w:rPr>
          <w:rFonts w:ascii="Times New Roman" w:hAnsi="Times New Roman"/>
          <w:sz w:val="24"/>
          <w:szCs w:val="24"/>
        </w:rPr>
        <w:t>Gazete’de</w:t>
      </w:r>
      <w:proofErr w:type="spellEnd"/>
      <w:r>
        <w:rPr>
          <w:rFonts w:ascii="Times New Roman" w:hAnsi="Times New Roman"/>
          <w:sz w:val="24"/>
          <w:szCs w:val="24"/>
        </w:rPr>
        <w:t xml:space="preserve"> yayımlanmak suretiyle ilan olunur.</w:t>
      </w:r>
    </w:p>
    <w:p w:rsidR="00E76D31" w:rsidRDefault="00E76D31" w:rsidP="00E76D31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E76D31" w:rsidRDefault="00E76D31" w:rsidP="00E76D31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imes New Roman" w:hAnsi="Times New Roman"/>
          <w:sz w:val="24"/>
          <w:szCs w:val="24"/>
        </w:rPr>
      </w:pPr>
    </w:p>
    <w:p w:rsidR="00E76D31" w:rsidRDefault="00E76D31" w:rsidP="00E76D31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Sayı: 75/2023</w:t>
      </w:r>
    </w:p>
    <w:p w:rsidR="00E76D31" w:rsidRDefault="00E76D31"/>
    <w:tbl>
      <w:tblPr>
        <w:tblW w:w="9738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458"/>
        <w:gridCol w:w="630"/>
        <w:gridCol w:w="630"/>
        <w:gridCol w:w="588"/>
        <w:gridCol w:w="5622"/>
      </w:tblGrid>
      <w:tr w:rsidR="00290611" w:rsidRPr="0023729E" w:rsidTr="00EC3B71">
        <w:trPr>
          <w:trHeight w:val="509"/>
        </w:trPr>
        <w:tc>
          <w:tcPr>
            <w:tcW w:w="9738" w:type="dxa"/>
            <w:gridSpan w:val="6"/>
          </w:tcPr>
          <w:p w:rsidR="00290611" w:rsidRPr="0023729E" w:rsidRDefault="00290611" w:rsidP="002C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CUMHURİYET MECLİSİ GENEL SEKRETERLİĞİ ÖRGÜTÜ</w:t>
            </w:r>
          </w:p>
          <w:p w:rsidR="00290611" w:rsidRPr="0023729E" w:rsidRDefault="00290611" w:rsidP="00290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(KURULUŞ, GÖREV VE YÖNETİM İLKELERİ) (DEĞİŞİKLİK</w:t>
            </w:r>
            <w:r w:rsidR="0043209C">
              <w:rPr>
                <w:rFonts w:ascii="Times New Roman" w:hAnsi="Times New Roman"/>
                <w:sz w:val="24"/>
                <w:szCs w:val="24"/>
              </w:rPr>
              <w:t xml:space="preserve"> NO:2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C71B5" w:rsidRPr="0023729E" w:rsidRDefault="00290611" w:rsidP="002C7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YASA</w:t>
            </w:r>
            <w:r w:rsidR="00136E2B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2C71B5" w:rsidRPr="0023729E" w:rsidRDefault="002C71B5" w:rsidP="002C7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11" w:rsidRPr="0023729E" w:rsidTr="00EC3B71">
        <w:trPr>
          <w:trHeight w:val="509"/>
        </w:trPr>
        <w:tc>
          <w:tcPr>
            <w:tcW w:w="1810" w:type="dxa"/>
          </w:tcPr>
          <w:p w:rsidR="00290611" w:rsidRPr="0023729E" w:rsidRDefault="00290611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5"/>
          </w:tcPr>
          <w:p w:rsidR="00290611" w:rsidRPr="0023729E" w:rsidRDefault="00290611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     Kuzey Kıbrıs Türk Cumhuriyeti Cumhuriyet Meclisi aşağıdaki Yasayı yapar:</w:t>
            </w:r>
          </w:p>
        </w:tc>
      </w:tr>
      <w:tr w:rsidR="00290611" w:rsidRPr="0023729E" w:rsidTr="00EC3B71">
        <w:trPr>
          <w:trHeight w:val="193"/>
        </w:trPr>
        <w:tc>
          <w:tcPr>
            <w:tcW w:w="1810" w:type="dxa"/>
          </w:tcPr>
          <w:p w:rsidR="00290611" w:rsidRPr="0023729E" w:rsidRDefault="00290611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5"/>
          </w:tcPr>
          <w:p w:rsidR="00290611" w:rsidRPr="0023729E" w:rsidRDefault="00290611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11" w:rsidRPr="0023729E" w:rsidTr="00EC3B71">
        <w:tc>
          <w:tcPr>
            <w:tcW w:w="1810" w:type="dxa"/>
          </w:tcPr>
          <w:p w:rsidR="00290611" w:rsidRPr="0023729E" w:rsidRDefault="00290611" w:rsidP="00A02CEC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Kısa İsim</w:t>
            </w:r>
            <w:r w:rsidR="00A02CEC"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46/1997</w:t>
            </w:r>
          </w:p>
          <w:p w:rsidR="00290611" w:rsidRPr="0023729E" w:rsidRDefault="00290611" w:rsidP="00290611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2CEC"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28/2000   </w:t>
            </w:r>
          </w:p>
          <w:p w:rsidR="00290611" w:rsidRPr="0023729E" w:rsidRDefault="00290611" w:rsidP="00290611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2CEC"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27/2012</w:t>
            </w:r>
          </w:p>
          <w:p w:rsidR="00290611" w:rsidRPr="0023729E" w:rsidRDefault="00290611" w:rsidP="00290611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2CEC" w:rsidRPr="002372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6/2013</w:t>
            </w:r>
          </w:p>
          <w:p w:rsidR="008419A2" w:rsidRPr="0023729E" w:rsidRDefault="008419A2" w:rsidP="008419A2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2CEC"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45/2023</w:t>
            </w:r>
          </w:p>
        </w:tc>
        <w:tc>
          <w:tcPr>
            <w:tcW w:w="7928" w:type="dxa"/>
            <w:gridSpan w:val="5"/>
          </w:tcPr>
          <w:p w:rsidR="00290611" w:rsidRPr="0023729E" w:rsidRDefault="00290611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1. Bu Yasa, Cumhuriyet Meclisi Genel Sekreterliği Örgütü (Kuruluş, Görev ve Yönetim İlkeleri) (Değişiklik</w:t>
            </w:r>
            <w:r w:rsidR="009A0B76">
              <w:rPr>
                <w:rFonts w:ascii="Times New Roman" w:hAnsi="Times New Roman"/>
                <w:sz w:val="24"/>
                <w:szCs w:val="24"/>
              </w:rPr>
              <w:t xml:space="preserve"> No:2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) Yasası olarak isimlendirilir ve aşağıda “Esas Yasa” olarak anılan Cumhuriyet Meclisi Genel Sekreterliği Örgütü (Kuruluş, Görev ve Yönetim İlkeleri) Yasası ile birlikte okunur.</w:t>
            </w:r>
          </w:p>
        </w:tc>
      </w:tr>
      <w:tr w:rsidR="00290611" w:rsidRPr="0023729E" w:rsidTr="00EC3B71">
        <w:tc>
          <w:tcPr>
            <w:tcW w:w="1810" w:type="dxa"/>
          </w:tcPr>
          <w:p w:rsidR="00290611" w:rsidRPr="0023729E" w:rsidRDefault="00290611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5"/>
          </w:tcPr>
          <w:p w:rsidR="00290611" w:rsidRPr="0023729E" w:rsidRDefault="00290611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180" w:rsidRPr="0023729E" w:rsidTr="00B74793">
        <w:tc>
          <w:tcPr>
            <w:tcW w:w="1810" w:type="dxa"/>
          </w:tcPr>
          <w:p w:rsidR="00003180" w:rsidRPr="0023729E" w:rsidRDefault="00003180" w:rsidP="00290611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Yasanın</w:t>
            </w:r>
          </w:p>
          <w:p w:rsidR="00003180" w:rsidRPr="0023729E" w:rsidRDefault="00003180" w:rsidP="00003180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11’inci</w:t>
            </w:r>
          </w:p>
          <w:p w:rsidR="00B74793" w:rsidRDefault="00B74793" w:rsidP="009A0B76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Maddesine Bağlı BİRİNCİ</w:t>
            </w:r>
          </w:p>
          <w:p w:rsidR="009B22BE" w:rsidRPr="0023729E" w:rsidRDefault="009B22BE" w:rsidP="009A0B76">
            <w:pPr>
              <w:rPr>
                <w:rFonts w:ascii="Times New Roman" w:hAnsi="Times New Roman"/>
                <w:sz w:val="24"/>
                <w:szCs w:val="24"/>
              </w:rPr>
            </w:pPr>
            <w:r w:rsidRPr="009B22BE">
              <w:rPr>
                <w:rFonts w:ascii="Times New Roman" w:hAnsi="Times New Roman"/>
                <w:sz w:val="24"/>
                <w:szCs w:val="24"/>
              </w:rPr>
              <w:t>CETVEL’in</w:t>
            </w:r>
          </w:p>
        </w:tc>
        <w:tc>
          <w:tcPr>
            <w:tcW w:w="458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840" w:type="dxa"/>
            <w:gridSpan w:val="3"/>
          </w:tcPr>
          <w:p w:rsidR="00003180" w:rsidRPr="0023729E" w:rsidRDefault="006059AA" w:rsidP="00AA3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Esas Yasa, 11’inci maddesine bağlı BİRİNCİ CETVEL’de yer alan </w:t>
            </w:r>
            <w:r w:rsidR="00B74793" w:rsidRPr="0023729E">
              <w:rPr>
                <w:rFonts w:ascii="Times New Roman" w:hAnsi="Times New Roman"/>
                <w:sz w:val="24"/>
                <w:szCs w:val="24"/>
              </w:rPr>
              <w:t>“III.</w:t>
            </w:r>
            <w:r w:rsidR="003E53CD"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793" w:rsidRPr="0023729E">
              <w:rPr>
                <w:rFonts w:ascii="Times New Roman" w:hAnsi="Times New Roman"/>
                <w:sz w:val="24"/>
                <w:szCs w:val="24"/>
              </w:rPr>
              <w:t>Derece Kütüphane, Dokümantasyon ve Bilgi İşlem Şube Amiri” kadro</w:t>
            </w:r>
            <w:r w:rsidR="009A0B76">
              <w:rPr>
                <w:rFonts w:ascii="Times New Roman" w:hAnsi="Times New Roman"/>
                <w:sz w:val="24"/>
                <w:szCs w:val="24"/>
              </w:rPr>
              <w:t xml:space="preserve"> adı </w:t>
            </w:r>
            <w:r w:rsidR="00AA3272">
              <w:rPr>
                <w:rFonts w:ascii="Times New Roman" w:hAnsi="Times New Roman"/>
                <w:sz w:val="24"/>
                <w:szCs w:val="24"/>
              </w:rPr>
              <w:t xml:space="preserve">kaldırılmak ve yerine </w:t>
            </w:r>
            <w:r w:rsidR="009A0B76" w:rsidRPr="009A0B76">
              <w:rPr>
                <w:rFonts w:ascii="Times New Roman" w:hAnsi="Times New Roman"/>
                <w:sz w:val="24"/>
                <w:szCs w:val="24"/>
              </w:rPr>
              <w:t>“III. Derece Kütüphane</w:t>
            </w:r>
            <w:r w:rsidR="009A0B76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 w:rsidR="009A0B76" w:rsidRPr="009A0B76">
              <w:rPr>
                <w:rFonts w:ascii="Times New Roman" w:hAnsi="Times New Roman"/>
                <w:sz w:val="24"/>
                <w:szCs w:val="24"/>
              </w:rPr>
              <w:t xml:space="preserve"> Dokümantasyon Şube Amiri”</w:t>
            </w:r>
            <w:r w:rsidR="009A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272" w:rsidRPr="00AA3272">
              <w:rPr>
                <w:rFonts w:ascii="Times New Roman" w:hAnsi="Times New Roman"/>
                <w:sz w:val="24"/>
                <w:szCs w:val="24"/>
              </w:rPr>
              <w:t xml:space="preserve">kadro adı </w:t>
            </w:r>
            <w:r w:rsidR="00AA3272">
              <w:rPr>
                <w:rFonts w:ascii="Times New Roman" w:hAnsi="Times New Roman"/>
                <w:sz w:val="24"/>
                <w:szCs w:val="24"/>
              </w:rPr>
              <w:t>konma</w:t>
            </w:r>
            <w:r w:rsidR="007E6BD7">
              <w:rPr>
                <w:rFonts w:ascii="Times New Roman" w:hAnsi="Times New Roman"/>
                <w:sz w:val="24"/>
                <w:szCs w:val="24"/>
              </w:rPr>
              <w:t>k</w:t>
            </w:r>
            <w:r w:rsidR="00B74793"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272">
              <w:rPr>
                <w:rFonts w:ascii="Times New Roman" w:hAnsi="Times New Roman"/>
                <w:sz w:val="24"/>
                <w:szCs w:val="24"/>
              </w:rPr>
              <w:t xml:space="preserve">suretiyle </w:t>
            </w:r>
            <w:r w:rsidR="00B74793" w:rsidRPr="0023729E">
              <w:rPr>
                <w:rFonts w:ascii="Times New Roman" w:hAnsi="Times New Roman"/>
                <w:sz w:val="24"/>
                <w:szCs w:val="24"/>
              </w:rPr>
              <w:t>değiştirilir.</w:t>
            </w:r>
          </w:p>
        </w:tc>
      </w:tr>
      <w:tr w:rsidR="009A0B76" w:rsidRPr="0023729E" w:rsidTr="00B74793">
        <w:tc>
          <w:tcPr>
            <w:tcW w:w="1810" w:type="dxa"/>
          </w:tcPr>
          <w:p w:rsidR="009A0B76" w:rsidRPr="0023729E" w:rsidRDefault="009B22BE" w:rsidP="00290611">
            <w:pPr>
              <w:rPr>
                <w:rFonts w:ascii="Times New Roman" w:hAnsi="Times New Roman"/>
                <w:sz w:val="24"/>
                <w:szCs w:val="24"/>
              </w:rPr>
            </w:pPr>
            <w:r w:rsidRPr="009B22BE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458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9A0B76" w:rsidRPr="0023729E" w:rsidRDefault="009A0B76" w:rsidP="009A0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76" w:rsidRPr="0023729E" w:rsidTr="00B74793">
        <w:tc>
          <w:tcPr>
            <w:tcW w:w="1810" w:type="dxa"/>
          </w:tcPr>
          <w:p w:rsidR="009A0B76" w:rsidRPr="0023729E" w:rsidRDefault="009A0B76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0B76" w:rsidRPr="0023729E" w:rsidRDefault="009A0B76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840" w:type="dxa"/>
            <w:gridSpan w:val="3"/>
          </w:tcPr>
          <w:p w:rsidR="009A0B76" w:rsidRPr="0023729E" w:rsidRDefault="009A0B76" w:rsidP="0000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Yasa, 11’inci maddesine bağlı BİRİNCİ CETVEL’de yer alan:</w:t>
            </w:r>
          </w:p>
        </w:tc>
      </w:tr>
      <w:tr w:rsidR="009A0B76" w:rsidRPr="0023729E" w:rsidTr="00B74793">
        <w:tc>
          <w:tcPr>
            <w:tcW w:w="1810" w:type="dxa"/>
          </w:tcPr>
          <w:p w:rsidR="009A0B76" w:rsidRPr="0023729E" w:rsidRDefault="009A0B76" w:rsidP="000031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B74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6210" w:type="dxa"/>
            <w:gridSpan w:val="2"/>
          </w:tcPr>
          <w:p w:rsidR="009A0B76" w:rsidRPr="0023729E" w:rsidRDefault="009A0B76" w:rsidP="00D57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“I. Derece Bas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n ve D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ış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İ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li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kiler Memuru” kadrosunda kadro sayısı olarak öngörülen “1” rakamı kaldırılmak ve yerine “2” rakamı konmak; ve</w:t>
            </w:r>
          </w:p>
        </w:tc>
      </w:tr>
      <w:tr w:rsidR="009A0B76" w:rsidRPr="0023729E" w:rsidTr="00B74793">
        <w:tc>
          <w:tcPr>
            <w:tcW w:w="1810" w:type="dxa"/>
          </w:tcPr>
          <w:p w:rsidR="009A0B76" w:rsidRPr="0023729E" w:rsidRDefault="009A0B76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B74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6210" w:type="dxa"/>
            <w:gridSpan w:val="2"/>
          </w:tcPr>
          <w:p w:rsidR="009A0B76" w:rsidRPr="0023729E" w:rsidRDefault="009A0B76" w:rsidP="0000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“II. Derece Bas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n ve D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ış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İ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li</w:t>
            </w:r>
            <w:r w:rsidRPr="0023729E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kiler Memuru” kadrosunda kadro sayısı olarak öngörülen “2” rakamı kaldırılmak ve yerine “4” rakamı konmak </w:t>
            </w:r>
          </w:p>
        </w:tc>
      </w:tr>
      <w:tr w:rsidR="009A0B76" w:rsidRPr="0023729E" w:rsidTr="00B74793">
        <w:tc>
          <w:tcPr>
            <w:tcW w:w="1810" w:type="dxa"/>
          </w:tcPr>
          <w:p w:rsidR="009A0B76" w:rsidRPr="0023729E" w:rsidRDefault="009A0B76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9A0B76" w:rsidRPr="0023729E" w:rsidRDefault="009A0B76" w:rsidP="0000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suretiyle değiştirilir.</w:t>
            </w:r>
          </w:p>
        </w:tc>
      </w:tr>
      <w:tr w:rsidR="009A0B76" w:rsidRPr="0023729E" w:rsidTr="00B74793">
        <w:tc>
          <w:tcPr>
            <w:tcW w:w="1810" w:type="dxa"/>
          </w:tcPr>
          <w:p w:rsidR="009A0B76" w:rsidRPr="0023729E" w:rsidRDefault="009A0B76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A0B76" w:rsidRPr="0023729E" w:rsidRDefault="009A0B76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9A0B76" w:rsidRPr="0023729E" w:rsidRDefault="009A0B76" w:rsidP="0000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75" w:rsidRPr="0023729E" w:rsidTr="00B74793">
        <w:tc>
          <w:tcPr>
            <w:tcW w:w="1810" w:type="dxa"/>
          </w:tcPr>
          <w:p w:rsidR="00657B75" w:rsidRPr="0023729E" w:rsidRDefault="00657B75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57B75" w:rsidRPr="0023729E" w:rsidRDefault="00657B75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7B75" w:rsidRPr="0023729E" w:rsidRDefault="00657B75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7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840" w:type="dxa"/>
            <w:gridSpan w:val="3"/>
          </w:tcPr>
          <w:p w:rsidR="00657B75" w:rsidRPr="0023729E" w:rsidRDefault="00657B75" w:rsidP="0000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75">
              <w:rPr>
                <w:rFonts w:ascii="Times New Roman" w:hAnsi="Times New Roman"/>
                <w:sz w:val="24"/>
                <w:szCs w:val="24"/>
              </w:rPr>
              <w:t>Esas Yasa, 11’inci maddesine bağlı BİRİNCİ CETVEL’de yer alan:</w:t>
            </w:r>
          </w:p>
        </w:tc>
      </w:tr>
      <w:tr w:rsidR="00657B75" w:rsidRPr="0023729E" w:rsidTr="00657B75">
        <w:tc>
          <w:tcPr>
            <w:tcW w:w="1810" w:type="dxa"/>
          </w:tcPr>
          <w:p w:rsidR="00657B75" w:rsidRPr="0023729E" w:rsidRDefault="00657B75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57B75" w:rsidRPr="0023729E" w:rsidRDefault="00657B75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7B75" w:rsidRPr="00657B75" w:rsidRDefault="00657B75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7B75" w:rsidRPr="0023729E" w:rsidRDefault="00657B75" w:rsidP="000A6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6210" w:type="dxa"/>
            <w:gridSpan w:val="2"/>
          </w:tcPr>
          <w:p w:rsidR="00657B75" w:rsidRPr="00657B75" w:rsidRDefault="00657B75" w:rsidP="009D1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75">
              <w:rPr>
                <w:rFonts w:ascii="Times New Roman" w:hAnsi="Times New Roman"/>
                <w:sz w:val="24"/>
                <w:szCs w:val="24"/>
              </w:rPr>
              <w:t>“I. Derece Kütüphane, Dokümantasyon ve Bilgi İşlem Memuru”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kadro</w:t>
            </w:r>
            <w:r w:rsidR="009D18D9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kaldırılmak ve yerine 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>“I. Derece Kütüphane ve Dokümantasyon Memuru”</w:t>
            </w:r>
            <w:r w:rsidR="0054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kadro</w:t>
            </w:r>
            <w:r w:rsidR="009D18D9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konmak;</w:t>
            </w:r>
          </w:p>
        </w:tc>
      </w:tr>
      <w:tr w:rsidR="00657B75" w:rsidRPr="0023729E" w:rsidTr="00657B75">
        <w:tc>
          <w:tcPr>
            <w:tcW w:w="1810" w:type="dxa"/>
          </w:tcPr>
          <w:p w:rsidR="00657B75" w:rsidRPr="0023729E" w:rsidRDefault="00657B75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57B75" w:rsidRPr="0023729E" w:rsidRDefault="00657B75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7B75" w:rsidRPr="00657B75" w:rsidRDefault="00657B75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57B75" w:rsidRPr="0023729E" w:rsidRDefault="00657B75" w:rsidP="000A6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6210" w:type="dxa"/>
            <w:gridSpan w:val="2"/>
          </w:tcPr>
          <w:p w:rsidR="00657B75" w:rsidRPr="00657B75" w:rsidRDefault="00657B75" w:rsidP="009D1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75">
              <w:rPr>
                <w:rFonts w:ascii="Times New Roman" w:hAnsi="Times New Roman"/>
                <w:sz w:val="24"/>
                <w:szCs w:val="24"/>
              </w:rPr>
              <w:t>“II. Derece Kütüphane, Dokümantasyon ve Bilgi İşlem Memuru” kadro</w:t>
            </w:r>
            <w:r w:rsidR="009D18D9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 xml:space="preserve"> kaldırılmak ve yerine “I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>. Derece Kütüphane ve Dokümantasyon Memuru”</w:t>
            </w:r>
            <w:r w:rsidR="00543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>kadro</w:t>
            </w:r>
            <w:r w:rsidR="009D18D9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 xml:space="preserve"> konmak;</w:t>
            </w:r>
          </w:p>
        </w:tc>
      </w:tr>
      <w:tr w:rsidR="00EC6F98" w:rsidRPr="0023729E" w:rsidTr="00EC6F98">
        <w:tc>
          <w:tcPr>
            <w:tcW w:w="1810" w:type="dxa"/>
          </w:tcPr>
          <w:p w:rsidR="00EC6F98" w:rsidRPr="0023729E" w:rsidRDefault="00EC6F98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C6F98" w:rsidRPr="0023729E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6F98" w:rsidRPr="00657B75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6F98" w:rsidRPr="00657B75" w:rsidRDefault="00EC6F98" w:rsidP="00657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588" w:type="dxa"/>
          </w:tcPr>
          <w:p w:rsidR="00EC6F98" w:rsidRPr="00657B75" w:rsidRDefault="00EC6F98" w:rsidP="0013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622" w:type="dxa"/>
          </w:tcPr>
          <w:p w:rsidR="00EC6F98" w:rsidRPr="00657B75" w:rsidRDefault="00EC6F98" w:rsidP="00582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75">
              <w:rPr>
                <w:rFonts w:ascii="Times New Roman" w:hAnsi="Times New Roman"/>
                <w:sz w:val="24"/>
                <w:szCs w:val="24"/>
              </w:rPr>
              <w:t xml:space="preserve">“III. Derece Kütüphane, Dokümantasyon ve Bilgi İşlem </w:t>
            </w:r>
            <w:r w:rsidRPr="00657B75">
              <w:rPr>
                <w:rFonts w:ascii="Times New Roman" w:hAnsi="Times New Roman"/>
                <w:sz w:val="24"/>
                <w:szCs w:val="24"/>
              </w:rPr>
              <w:lastRenderedPageBreak/>
              <w:t>Memuru” kadro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 xml:space="preserve"> kaldırılmak ve yerine “I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>. Derece Kütüphane ve Dokümantasyon Memuru”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>kadro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  <w:r w:rsidRPr="00657B75">
              <w:rPr>
                <w:rFonts w:ascii="Times New Roman" w:hAnsi="Times New Roman"/>
                <w:sz w:val="24"/>
                <w:szCs w:val="24"/>
              </w:rPr>
              <w:t xml:space="preserve"> konmak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52328">
              <w:rPr>
                <w:rFonts w:ascii="Times New Roman" w:hAnsi="Times New Roman"/>
                <w:sz w:val="24"/>
                <w:szCs w:val="24"/>
              </w:rPr>
              <w:t xml:space="preserve"> ve</w:t>
            </w:r>
          </w:p>
        </w:tc>
      </w:tr>
      <w:tr w:rsidR="00EC6F98" w:rsidRPr="0023729E" w:rsidTr="00EC6F98">
        <w:tc>
          <w:tcPr>
            <w:tcW w:w="1810" w:type="dxa"/>
          </w:tcPr>
          <w:p w:rsidR="00EC6F98" w:rsidRPr="0023729E" w:rsidRDefault="00EC6F98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C6F98" w:rsidRPr="0023729E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6F98" w:rsidRPr="00657B75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6F98" w:rsidRDefault="00EC6F98" w:rsidP="00657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C6F98" w:rsidRDefault="00EC6F98" w:rsidP="00134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622" w:type="dxa"/>
          </w:tcPr>
          <w:p w:rsidR="00EC6F98" w:rsidRPr="00657B75" w:rsidRDefault="00EC6F98" w:rsidP="00582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75">
              <w:rPr>
                <w:rFonts w:ascii="Times New Roman" w:hAnsi="Times New Roman"/>
                <w:sz w:val="24"/>
                <w:szCs w:val="24"/>
              </w:rPr>
              <w:t>“III. Derece Kütüphane, Dokümantasyon ve Bilgi İşlem Memuru” kadro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sayısı olarak öngörülen “1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rakamı kaldırılmak ve yerine “3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” rakamı konmak</w:t>
            </w:r>
          </w:p>
        </w:tc>
      </w:tr>
      <w:tr w:rsidR="00EC6F98" w:rsidRPr="0023729E" w:rsidTr="000A64CD">
        <w:tc>
          <w:tcPr>
            <w:tcW w:w="1810" w:type="dxa"/>
          </w:tcPr>
          <w:p w:rsidR="00EC6F98" w:rsidRPr="0023729E" w:rsidRDefault="00EC6F98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C6F98" w:rsidRPr="0023729E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6F98" w:rsidRPr="00657B75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:rsidR="00EC6F98" w:rsidRPr="00657B75" w:rsidRDefault="00EC6F98" w:rsidP="00657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B75">
              <w:rPr>
                <w:rFonts w:ascii="Times New Roman" w:hAnsi="Times New Roman"/>
                <w:sz w:val="24"/>
                <w:szCs w:val="24"/>
              </w:rPr>
              <w:t>suretiyle değiştirilir.</w:t>
            </w:r>
          </w:p>
        </w:tc>
      </w:tr>
      <w:tr w:rsidR="00EC6F98" w:rsidRPr="0023729E" w:rsidTr="008B23C4">
        <w:tc>
          <w:tcPr>
            <w:tcW w:w="1810" w:type="dxa"/>
          </w:tcPr>
          <w:p w:rsidR="00EC6F98" w:rsidRPr="0023729E" w:rsidRDefault="00EC6F98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C6F98" w:rsidRPr="0023729E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6F98" w:rsidRPr="0023729E" w:rsidRDefault="00EC6F9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6F98" w:rsidRPr="0023729E" w:rsidRDefault="00EC6F98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EC6F98" w:rsidRPr="008B23C4" w:rsidRDefault="00EC6F98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752" w:rsidRDefault="00543752"/>
    <w:tbl>
      <w:tblPr>
        <w:tblW w:w="9738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458"/>
        <w:gridCol w:w="630"/>
        <w:gridCol w:w="630"/>
        <w:gridCol w:w="21"/>
        <w:gridCol w:w="69"/>
        <w:gridCol w:w="6120"/>
      </w:tblGrid>
      <w:tr w:rsidR="00003180" w:rsidRPr="0023729E" w:rsidTr="00B74793">
        <w:tc>
          <w:tcPr>
            <w:tcW w:w="1810" w:type="dxa"/>
          </w:tcPr>
          <w:p w:rsidR="00003180" w:rsidRPr="0023729E" w:rsidRDefault="00D50C96" w:rsidP="00290611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8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B74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</w:t>
            </w:r>
            <w:r w:rsidR="00DF4FEF" w:rsidRPr="0023729E">
              <w:rPr>
                <w:rFonts w:ascii="Times New Roman" w:hAnsi="Times New Roman"/>
                <w:sz w:val="24"/>
                <w:szCs w:val="24"/>
              </w:rPr>
              <w:t>4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4"/>
          </w:tcPr>
          <w:p w:rsidR="00003180" w:rsidRPr="0023729E" w:rsidRDefault="00003180" w:rsidP="0000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Yasa, 11’inci maddesine bağlı BİRİNCİ CETVEL’de  yer alan:</w:t>
            </w:r>
          </w:p>
        </w:tc>
      </w:tr>
      <w:tr w:rsidR="00003180" w:rsidRPr="0023729E" w:rsidTr="00B74793">
        <w:tc>
          <w:tcPr>
            <w:tcW w:w="1810" w:type="dxa"/>
          </w:tcPr>
          <w:p w:rsidR="00003180" w:rsidRPr="0023729E" w:rsidRDefault="00003180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B74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6210" w:type="dxa"/>
            <w:gridSpan w:val="3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“I. Derece Stenograf” kadrosunda kadro sayısı olarak öngörülen “5” rakamı kaldırılmak ve yerine “4” rakamı konmak;</w:t>
            </w:r>
          </w:p>
        </w:tc>
      </w:tr>
      <w:tr w:rsidR="00003180" w:rsidRPr="0023729E" w:rsidTr="00B74793">
        <w:tc>
          <w:tcPr>
            <w:tcW w:w="1810" w:type="dxa"/>
          </w:tcPr>
          <w:p w:rsidR="00003180" w:rsidRPr="0023729E" w:rsidRDefault="00003180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B74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6210" w:type="dxa"/>
            <w:gridSpan w:val="3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“II. Derece Stenograf” kadrosunda kadro sayısı olarak öngörülen “4” rakamı kaldırılmak ve yerine “6” rakamı konmak;</w:t>
            </w:r>
          </w:p>
        </w:tc>
      </w:tr>
      <w:tr w:rsidR="00003180" w:rsidRPr="0023729E" w:rsidTr="00B74793">
        <w:tc>
          <w:tcPr>
            <w:tcW w:w="1810" w:type="dxa"/>
          </w:tcPr>
          <w:p w:rsidR="00003180" w:rsidRPr="0023729E" w:rsidRDefault="00003180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B74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6210" w:type="dxa"/>
            <w:gridSpan w:val="3"/>
          </w:tcPr>
          <w:p w:rsidR="00003180" w:rsidRPr="0023729E" w:rsidRDefault="00003180" w:rsidP="00003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“II</w:t>
            </w:r>
            <w:r w:rsidR="0043209C">
              <w:rPr>
                <w:rFonts w:ascii="Times New Roman" w:hAnsi="Times New Roman"/>
                <w:sz w:val="24"/>
                <w:szCs w:val="24"/>
              </w:rPr>
              <w:t>I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. Derece Stenograf” kadrosunda kadro sayısı olarak öngörülen “3” rakamı kaldırılmak ve yerine “8” rakamı konmak; ve</w:t>
            </w:r>
          </w:p>
        </w:tc>
      </w:tr>
      <w:tr w:rsidR="00003180" w:rsidRPr="0023729E" w:rsidTr="00B74793">
        <w:tc>
          <w:tcPr>
            <w:tcW w:w="1810" w:type="dxa"/>
          </w:tcPr>
          <w:p w:rsidR="00003180" w:rsidRPr="0023729E" w:rsidRDefault="00003180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B74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(Ç)</w:t>
            </w:r>
          </w:p>
        </w:tc>
        <w:tc>
          <w:tcPr>
            <w:tcW w:w="6210" w:type="dxa"/>
            <w:gridSpan w:val="3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“IV. Derece Stenograf” kadrosunda kadro sayısı olarak öngörülen “8” rakamı kaldırılmak ve yerine “20” rakamı konmak</w:t>
            </w:r>
          </w:p>
        </w:tc>
      </w:tr>
      <w:tr w:rsidR="00003180" w:rsidRPr="0023729E" w:rsidTr="00B74793">
        <w:tc>
          <w:tcPr>
            <w:tcW w:w="1810" w:type="dxa"/>
          </w:tcPr>
          <w:p w:rsidR="00003180" w:rsidRPr="0023729E" w:rsidRDefault="00003180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:rsidR="00003180" w:rsidRPr="0023729E" w:rsidRDefault="00003180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suretiyle değiştirilir.</w:t>
            </w:r>
          </w:p>
        </w:tc>
      </w:tr>
      <w:tr w:rsidR="00DF4FEF" w:rsidRPr="0023729E" w:rsidTr="00B74793">
        <w:tc>
          <w:tcPr>
            <w:tcW w:w="1810" w:type="dxa"/>
          </w:tcPr>
          <w:p w:rsidR="00DF4FEF" w:rsidRPr="0023729E" w:rsidRDefault="00DF4FEF" w:rsidP="00290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F4FEF" w:rsidRPr="0023729E" w:rsidRDefault="00DF4FEF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F4FEF" w:rsidRPr="0023729E" w:rsidRDefault="00DF4FEF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:rsidR="00DF4FEF" w:rsidRPr="0023729E" w:rsidRDefault="00DF4FEF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 (5)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Yasa, 11’inci maddesine bağlı BİRİNCİ CETVEL’in sonunda yer alan “244 Toplam”, “20 İşçi” ve “264 Genel Toplam” rakam ve söz dizileri kaldırı</w:t>
            </w:r>
            <w:r w:rsidR="00652328">
              <w:rPr>
                <w:rFonts w:ascii="Times New Roman" w:hAnsi="Times New Roman"/>
                <w:sz w:val="24"/>
                <w:szCs w:val="24"/>
              </w:rPr>
              <w:t>lmak ve yerlerine sırasıyla “267 Toplam”, “20 İşçi” ve “287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Genel Toplam” rakam ve söz dizileri konmak suretiyle değiştirilir. 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Yasanın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 (1)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Esas Yasa, 12’nci maddesine bağlı İKİNCİ CETVEL’de yer alan: 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12’nci Maddesine Bağlı İKİNCİ </w:t>
            </w:r>
          </w:p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CETVEL’in</w:t>
            </w:r>
          </w:p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974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“III. Derece Kütüphane, Dokümantasyon ve Bilgi İşlem Şube Amiri” kadro hizmet şemasında “Kadro Adı: Kütüphane, Dokümantasyon ve Bilgi İşlem Şube Amiri” söz dizisi </w:t>
            </w:r>
            <w:r w:rsidR="000A64CD">
              <w:rPr>
                <w:rFonts w:ascii="Times New Roman" w:hAnsi="Times New Roman"/>
                <w:sz w:val="24"/>
                <w:szCs w:val="24"/>
              </w:rPr>
              <w:t xml:space="preserve">kaldırılmak ve yerine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“Kadro Adı: Kütüphane ve Dokümantasyon Şube Amiri” söz dizisi </w:t>
            </w:r>
            <w:r w:rsidR="000A64CD">
              <w:rPr>
                <w:rFonts w:ascii="Times New Roman" w:hAnsi="Times New Roman"/>
                <w:sz w:val="24"/>
                <w:szCs w:val="24"/>
              </w:rPr>
              <w:t>konmak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; ve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974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“III. Derece Kütüphane, Dokümantasyon ve Bilgi İşlem Şube Amiri” kadro hizmet şemasının “I. GÖREV, YETKİ VE SORUMLULUKLARI” Kısmının (3)’üncü </w:t>
            </w:r>
            <w:r w:rsidR="00974343">
              <w:rPr>
                <w:rFonts w:ascii="Times New Roman" w:hAnsi="Times New Roman"/>
                <w:sz w:val="24"/>
                <w:szCs w:val="24"/>
              </w:rPr>
              <w:t>fıkrası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kaldırılmak ve ondan sonra gelen </w:t>
            </w:r>
            <w:r w:rsidR="00974343">
              <w:rPr>
                <w:rFonts w:ascii="Times New Roman" w:hAnsi="Times New Roman"/>
                <w:sz w:val="24"/>
                <w:szCs w:val="24"/>
              </w:rPr>
              <w:t>fıkralar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yeniden sayılandırılmak </w:t>
            </w:r>
            <w:r w:rsidR="007E6BD7" w:rsidRPr="007E6BD7">
              <w:rPr>
                <w:rFonts w:ascii="Times New Roman" w:hAnsi="Times New Roman"/>
                <w:sz w:val="24"/>
                <w:szCs w:val="24"/>
              </w:rPr>
              <w:t>suretiyle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71030" w:rsidP="00D71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F4FEF" w:rsidRPr="0023729E">
              <w:rPr>
                <w:rFonts w:ascii="Times New Roman" w:hAnsi="Times New Roman"/>
                <w:sz w:val="24"/>
                <w:szCs w:val="24"/>
              </w:rPr>
              <w:t>eğiştirilir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DF5F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Yasa, 12’nci maddesine bağlı İKİNCİ CETVEL’de yer alan: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“I. Derece Basın ve Dış İlişkiler Memuru” kadro hizmet şemasında yer alan “Kadro Sayısı: 1” söz dizisi ve rakamı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kaldırılmak ve yerine “Kadro Sayısı: 2” söz dizisi ve rakamı konmak; ve 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“II. Derece Basın ve Dış İlişkiler Memuru” kadro hizmet şemasında yer alan “Kadro Sayısı: 2” söz dizisi ve rakamı kaldırılmak ve yerine “Kadro Sayısı: 4” söz dizisi ve rakamı konmak 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suretiyle değiştirilir.</w:t>
            </w:r>
          </w:p>
        </w:tc>
      </w:tr>
      <w:tr w:rsidR="00DF4FE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FEF" w:rsidRPr="0023729E" w:rsidRDefault="00DF4FE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E2F" w:rsidRPr="0023729E" w:rsidRDefault="00957E2F"/>
    <w:tbl>
      <w:tblPr>
        <w:tblW w:w="9738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458"/>
        <w:gridCol w:w="630"/>
        <w:gridCol w:w="630"/>
        <w:gridCol w:w="540"/>
        <w:gridCol w:w="5670"/>
      </w:tblGrid>
      <w:tr w:rsidR="00DF5F17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DF5F17" w:rsidRPr="0023729E" w:rsidRDefault="00DF5F17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F5F17" w:rsidRPr="0023729E" w:rsidRDefault="00DF5F17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F5F17" w:rsidRPr="0023729E" w:rsidRDefault="00DF5F17" w:rsidP="00DF5F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F17" w:rsidRPr="0023729E" w:rsidRDefault="00DF5F17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Yasa, 12’nci maddesine bağlı İKİNCİ CETVEL’de yer alan: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305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“I. Derece Kütüphane, Dokümantasyon ve Bilgi İşlem Memuru” kadro hizmet şemasında “Kadro Adı: Kütüphane, Dokümantasyon ve Bilgi İşlem Memuru” söz dizisi</w:t>
            </w:r>
            <w:r w:rsidR="000A64CD">
              <w:rPr>
                <w:rFonts w:ascii="Times New Roman" w:hAnsi="Times New Roman"/>
                <w:sz w:val="24"/>
                <w:szCs w:val="24"/>
              </w:rPr>
              <w:t xml:space="preserve"> kaldırılmak ve yerine</w:t>
            </w:r>
            <w:r w:rsidR="007E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“Kadro Adı: Kütüphane ve Dokümantasyon Memuru”  söz dizisi </w:t>
            </w:r>
            <w:r w:rsidR="000A64CD">
              <w:rPr>
                <w:rFonts w:ascii="Times New Roman" w:hAnsi="Times New Roman"/>
                <w:sz w:val="24"/>
                <w:szCs w:val="24"/>
              </w:rPr>
              <w:t>konmak</w:t>
            </w:r>
            <w:r w:rsidR="007E6BD7">
              <w:rPr>
                <w:rFonts w:ascii="Times New Roman" w:hAnsi="Times New Roman"/>
                <w:sz w:val="24"/>
                <w:szCs w:val="24"/>
              </w:rPr>
              <w:t>; ve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E30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“I. Derece Kütüphane, Dokümantasyon ve Bilgi İşlem Memuru” kadro hizmet şemasının</w:t>
            </w:r>
            <w:r w:rsidR="007E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“I. GÖREV, YETKİ VE SORUMLULUKLARI” Kısmının (7)’nci </w:t>
            </w:r>
            <w:r w:rsidR="000A64CD" w:rsidRPr="000A64CD">
              <w:rPr>
                <w:rFonts w:ascii="Times New Roman" w:hAnsi="Times New Roman"/>
                <w:sz w:val="24"/>
                <w:szCs w:val="24"/>
              </w:rPr>
              <w:t xml:space="preserve">fıkrası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kaldırılmak ve ondan sonra gelen </w:t>
            </w:r>
            <w:r w:rsidR="00EE31D0" w:rsidRPr="00EE31D0">
              <w:rPr>
                <w:rFonts w:ascii="Times New Roman" w:hAnsi="Times New Roman"/>
                <w:sz w:val="24"/>
                <w:szCs w:val="24"/>
              </w:rPr>
              <w:t>fıkra</w:t>
            </w:r>
            <w:r w:rsidR="00EE31D0">
              <w:rPr>
                <w:rFonts w:ascii="Times New Roman" w:hAnsi="Times New Roman"/>
                <w:sz w:val="24"/>
                <w:szCs w:val="24"/>
              </w:rPr>
              <w:t>lar</w:t>
            </w:r>
            <w:r w:rsidR="00EE31D0" w:rsidRPr="00EE3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yeniden sayılandırılmak</w:t>
            </w:r>
            <w:r w:rsidR="007E6BD7" w:rsidRPr="007E6BD7">
              <w:rPr>
                <w:rFonts w:ascii="Times New Roman" w:hAnsi="Times New Roman"/>
                <w:sz w:val="24"/>
                <w:szCs w:val="24"/>
              </w:rPr>
              <w:t xml:space="preserve"> suretiyle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değiştirilir.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E30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“II. Derece Kütüphane, Dokümantasyon ve Bilgi İşlem Memuru” kadro hizmet şemasında “Kadro Adı: Kütüphane, Dokümantasyon ve Bilgi İşlem Memuru” söz dizisi </w:t>
            </w:r>
            <w:r w:rsidR="000A64CD" w:rsidRPr="000A64CD">
              <w:rPr>
                <w:rFonts w:ascii="Times New Roman" w:hAnsi="Times New Roman"/>
                <w:sz w:val="24"/>
                <w:szCs w:val="24"/>
              </w:rPr>
              <w:t xml:space="preserve">kaldırılmak ve yerine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“Kadro Adı: Kütüphane ve Dokümantasyon Memuru”  söz dizisi</w:t>
            </w:r>
            <w:r w:rsidR="007E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4CD" w:rsidRPr="000A64CD">
              <w:rPr>
                <w:rFonts w:ascii="Times New Roman" w:hAnsi="Times New Roman"/>
                <w:sz w:val="24"/>
                <w:szCs w:val="24"/>
              </w:rPr>
              <w:t>konmak; ve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E30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“II. Derece Kütüphane, Dokümantasyon ve Bilgi İşlem Memuru” kadro hizmet şemasının</w:t>
            </w:r>
            <w:r w:rsidR="007E6BD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I. GÖREV, YETKİ VE SORUMLULUKLARI” Kısmının (7)’nci </w:t>
            </w:r>
            <w:r w:rsidR="000A64CD">
              <w:rPr>
                <w:rFonts w:ascii="Times New Roman" w:hAnsi="Times New Roman"/>
                <w:sz w:val="24"/>
                <w:szCs w:val="24"/>
              </w:rPr>
              <w:t>fıkrası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kaldırılmak ve ondan sonra gelen </w:t>
            </w:r>
            <w:r w:rsidR="00EE31D0" w:rsidRPr="00EE31D0">
              <w:rPr>
                <w:rFonts w:ascii="Times New Roman" w:hAnsi="Times New Roman"/>
                <w:sz w:val="24"/>
                <w:szCs w:val="24"/>
              </w:rPr>
              <w:t xml:space="preserve">fıkralar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yeniden sayılandırılmak</w:t>
            </w:r>
            <w:r w:rsidR="007E6BD7" w:rsidRPr="007E6BD7">
              <w:rPr>
                <w:rFonts w:ascii="Times New Roman" w:hAnsi="Times New Roman"/>
                <w:sz w:val="24"/>
                <w:szCs w:val="24"/>
              </w:rPr>
              <w:t xml:space="preserve"> suretiyle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değiştirilir.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E30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“III. Derece Kütüphane, Dokümantasyon ve Bilgi İşlem Memuru” kadro hizmet şemasında “Kadro Adı: Kütüphane, Dokümantasyon ve Bilgi İşlem Memuru” söz dizisi </w:t>
            </w:r>
            <w:r w:rsidR="00523702" w:rsidRPr="00523702">
              <w:rPr>
                <w:rFonts w:ascii="Times New Roman" w:hAnsi="Times New Roman"/>
                <w:sz w:val="24"/>
                <w:szCs w:val="24"/>
              </w:rPr>
              <w:t xml:space="preserve">kaldırılmak ve yerine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“Kadro Adı: Kütüphane ve Dokümantasyon Memuru”  söz dizisi</w:t>
            </w:r>
            <w:r w:rsidR="00523702">
              <w:rPr>
                <w:rFonts w:ascii="Times New Roman" w:hAnsi="Times New Roman"/>
                <w:sz w:val="24"/>
                <w:szCs w:val="24"/>
              </w:rPr>
              <w:t xml:space="preserve"> konmak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;</w:t>
            </w:r>
            <w:r w:rsidR="00660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D86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60D86" w:rsidRPr="0023729E" w:rsidRDefault="00660D86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60D86" w:rsidRPr="0023729E" w:rsidRDefault="00660D86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0D86" w:rsidRPr="0023729E" w:rsidRDefault="00660D86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0D86" w:rsidRPr="0023729E" w:rsidRDefault="00660D86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0D86" w:rsidRPr="0023729E" w:rsidRDefault="00660D86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60D86" w:rsidRPr="0023729E" w:rsidRDefault="00660D86" w:rsidP="00E30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“III. Derece Kütüphane, Dokümantasyon ve Bilgi İşlem Memuru” kadro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hizmet şem</w:t>
            </w:r>
            <w:r>
              <w:rPr>
                <w:rFonts w:ascii="Times New Roman" w:hAnsi="Times New Roman"/>
                <w:sz w:val="24"/>
                <w:szCs w:val="24"/>
              </w:rPr>
              <w:t>asında yer alan “Kadro Sayısı: 1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” söz dizisi ve rakamı kaldır</w:t>
            </w:r>
            <w:r>
              <w:rPr>
                <w:rFonts w:ascii="Times New Roman" w:hAnsi="Times New Roman"/>
                <w:sz w:val="24"/>
                <w:szCs w:val="24"/>
              </w:rPr>
              <w:t>ılmak ve yerine “Kadro Sayısı: 3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>” söz dizisi ve rakamı konmak</w:t>
            </w:r>
            <w:r>
              <w:rPr>
                <w:rFonts w:ascii="Times New Roman" w:hAnsi="Times New Roman"/>
                <w:sz w:val="24"/>
                <w:szCs w:val="24"/>
              </w:rPr>
              <w:t>; ve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660D86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E30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“III. Derece Kütüphane, Dokümantasyon ve Bilgi İşlem Memuru” kadro hizmet şemasının</w:t>
            </w:r>
            <w:r w:rsidR="007E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“I. GÖREV, YETKİ VE SORUMLULUKLARI” Kısmının (7)’nci </w:t>
            </w:r>
            <w:r w:rsidR="00523702" w:rsidRPr="00523702">
              <w:rPr>
                <w:rFonts w:ascii="Times New Roman" w:hAnsi="Times New Roman"/>
                <w:sz w:val="24"/>
                <w:szCs w:val="24"/>
              </w:rPr>
              <w:t xml:space="preserve">fıkrası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kaldırılmak ve ondan sonra gelen </w:t>
            </w:r>
            <w:r w:rsidR="00523702" w:rsidRPr="00523702">
              <w:rPr>
                <w:rFonts w:ascii="Times New Roman" w:hAnsi="Times New Roman"/>
                <w:sz w:val="24"/>
                <w:szCs w:val="24"/>
              </w:rPr>
              <w:t xml:space="preserve">fıkralar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yeniden sayılandırılmak</w:t>
            </w:r>
            <w:r w:rsidR="007E6BD7" w:rsidRPr="007E6BD7">
              <w:rPr>
                <w:rFonts w:ascii="Times New Roman" w:hAnsi="Times New Roman"/>
                <w:sz w:val="24"/>
                <w:szCs w:val="24"/>
              </w:rPr>
              <w:t xml:space="preserve"> suretiyle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değiştirilir.</w:t>
            </w:r>
          </w:p>
        </w:tc>
      </w:tr>
    </w:tbl>
    <w:p w:rsidR="00B91CB9" w:rsidRPr="0023729E" w:rsidRDefault="00B91CB9"/>
    <w:tbl>
      <w:tblPr>
        <w:tblW w:w="9738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458"/>
        <w:gridCol w:w="630"/>
        <w:gridCol w:w="630"/>
        <w:gridCol w:w="21"/>
        <w:gridCol w:w="519"/>
        <w:gridCol w:w="189"/>
        <w:gridCol w:w="5481"/>
      </w:tblGrid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B91CB9" w:rsidP="00DB6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Esas Yasa, 12’nci maddesine bağlı İKİNCİ CETVEL’de yer alan 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>“IV. Derece Bilgisayar Operatörü” kadro hizmet şemasının              “I</w:t>
            </w:r>
            <w:r w:rsidR="0043209C">
              <w:rPr>
                <w:rFonts w:ascii="Times New Roman" w:hAnsi="Times New Roman"/>
                <w:sz w:val="24"/>
                <w:szCs w:val="24"/>
              </w:rPr>
              <w:t>.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 xml:space="preserve"> GÖREV, YETKİ VE SORUMLULUKLARI” Kısmının  (1)’inci </w:t>
            </w:r>
            <w:r w:rsidR="00523702">
              <w:rPr>
                <w:rFonts w:ascii="Times New Roman" w:hAnsi="Times New Roman"/>
                <w:sz w:val="24"/>
                <w:szCs w:val="24"/>
              </w:rPr>
              <w:t>fıkrası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 xml:space="preserve"> kaldırılmak ve yerine sırasıyla aşağıdaki yeni (1)’inci ve (2)’nci </w:t>
            </w:r>
            <w:r w:rsidR="00523702">
              <w:rPr>
                <w:rFonts w:ascii="Times New Roman" w:hAnsi="Times New Roman"/>
                <w:sz w:val="24"/>
                <w:szCs w:val="24"/>
              </w:rPr>
              <w:t>fıkra</w:t>
            </w:r>
            <w:r w:rsidR="00D76124">
              <w:rPr>
                <w:rFonts w:ascii="Times New Roman" w:hAnsi="Times New Roman"/>
                <w:sz w:val="24"/>
                <w:szCs w:val="24"/>
              </w:rPr>
              <w:t>lar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 xml:space="preserve"> konmak ve ondan sonra gelen </w:t>
            </w:r>
            <w:r w:rsidR="00523702" w:rsidRPr="00523702">
              <w:rPr>
                <w:rFonts w:ascii="Times New Roman" w:hAnsi="Times New Roman"/>
                <w:sz w:val="24"/>
                <w:szCs w:val="24"/>
              </w:rPr>
              <w:t xml:space="preserve">fıkralar 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>d</w:t>
            </w:r>
            <w:r w:rsidR="00DB6AA3">
              <w:rPr>
                <w:rFonts w:ascii="Times New Roman" w:hAnsi="Times New Roman"/>
                <w:sz w:val="24"/>
                <w:szCs w:val="24"/>
              </w:rPr>
              <w:t>a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 xml:space="preserve"> yeniden sayılandırılmak suretiyle değiştirilir: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“(1)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Cumhuriyet Meclisi Genel Sekreterliği Örgütünde görevlendirildiği Müdürlükte bağlı olduğu Amirinin yönerilerine uygun olarak bilgi girişi yapar ve her türlü veriyi bilgisayara yükler.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Örgütün her türlü yazışmalarla ilgili giriş ve çıkış kayıtlarını düzenler.”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br w:type="page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Esas Yasa, 12’nci maddesine bağlı İKİNCİ CETVEL’de yer alan: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“I. Derece Stenograf” kadro hizmet şemasında yer alan “Kadro Sayısı: 5” söz dizisi ve rakamı kaldırılmak ve yerine “Kadro Sayısı: 4” söz dizisi ve rakamı konmak;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“II. Derece Stenograf” kadro hizmet şemasında yer alan “Kadro Sayısı: 4” söz dizisi ve rakamı kaldırılmak ve yerine “Kadro Sayısı: 6” söz dizisi ve rakamı konmak;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“III. Derece Stenograf” kadro hizmet şemasında yer alan “Kadro Sayısı: 3” söz dizisi ve rakamı kaldırılmak ve yerine “Kadro Sayısı: 8” söz dizisi ve rakamı konmak; ve 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(ç)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“IV. Derece Stenograf” kadro hizmet şemasında yer alan “Kadro Sayısı: 8” söz dizisi ve rakamı kaldırılmak ve yerine “Kadro Sayısı: 20” söz dizisi ve rakamı konmak 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suretiyle değiştirilir.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16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“IV. Derece Stenograf” kadro hizmet şemasının </w:t>
            </w:r>
            <w:r w:rsidR="00DB6AA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“II. ARANAN NİTELİKLER” Kısmının (1)’inci </w:t>
            </w:r>
            <w:r w:rsidR="00816D59" w:rsidRPr="00816D59">
              <w:rPr>
                <w:rFonts w:ascii="Times New Roman" w:hAnsi="Times New Roman"/>
                <w:sz w:val="24"/>
                <w:szCs w:val="24"/>
              </w:rPr>
              <w:t>fıkra</w:t>
            </w:r>
            <w:r w:rsidR="00816D59">
              <w:rPr>
                <w:rFonts w:ascii="Times New Roman" w:hAnsi="Times New Roman"/>
                <w:sz w:val="24"/>
                <w:szCs w:val="24"/>
              </w:rPr>
              <w:t>sı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kaldırılmak ve yerine aşağıdaki yeni (1)’inci </w:t>
            </w:r>
            <w:r w:rsidR="00816D59">
              <w:rPr>
                <w:rFonts w:ascii="Times New Roman" w:hAnsi="Times New Roman"/>
                <w:sz w:val="24"/>
                <w:szCs w:val="24"/>
              </w:rPr>
              <w:t>fıkra</w:t>
            </w:r>
            <w:r w:rsidRPr="0023729E">
              <w:rPr>
                <w:rFonts w:ascii="Times New Roman" w:hAnsi="Times New Roman"/>
                <w:sz w:val="24"/>
                <w:szCs w:val="24"/>
              </w:rPr>
              <w:t xml:space="preserve"> konmak suretiyle değiştirilir: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“(1)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Lise veya dengi bir orta öğretim kurumunu bitirmiş olmak.”</w:t>
            </w:r>
          </w:p>
        </w:tc>
      </w:tr>
    </w:tbl>
    <w:p w:rsidR="00B91CB9" w:rsidRPr="0023729E" w:rsidRDefault="00B91CB9">
      <w:bookmarkStart w:id="0" w:name="_GoBack"/>
      <w:bookmarkEnd w:id="0"/>
    </w:p>
    <w:tbl>
      <w:tblPr>
        <w:tblW w:w="9738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8"/>
        <w:gridCol w:w="450"/>
        <w:gridCol w:w="630"/>
        <w:gridCol w:w="630"/>
        <w:gridCol w:w="6210"/>
      </w:tblGrid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Geçici Madde</w:t>
            </w:r>
          </w:p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İntibak Kuralları ve Kadrosu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Bu Yasada öngörülen kadrolarda halen çalışmakta olan personelin bu kadrolarla ilişikleri aynen devam eder ve tutmakta oldukları kadronun kendilerine kazandırmış olduğu barem ve maaşı çekmeye devam ederler.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B91CB9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Kaldırılan </w:t>
            </w:r>
            <w:r w:rsidR="00957E2F" w:rsidRPr="0023729E">
              <w:rPr>
                <w:rFonts w:ascii="Times New Roman" w:hAnsi="Times New Roman"/>
                <w:sz w:val="24"/>
                <w:szCs w:val="24"/>
              </w:rPr>
              <w:t>Personele</w:t>
            </w:r>
          </w:p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lastRenderedPageBreak/>
              <w:t>İlişkin Kural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D954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Bu (Değişiklik) Yasası ile kadrosu kaldırılan “III. Derece Kütüphane, Dokümantasyon ve Bilgi İşlem Şube Amiri” </w:t>
            </w: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kadrosunda çalışan personel, bu (Değişiklik) Yasası ile “III. Derece Kütüphane ve Dokümantasyon Şube Amiri”  kadrosuna; ve</w:t>
            </w:r>
          </w:p>
        </w:tc>
      </w:tr>
      <w:tr w:rsidR="00957E2F" w:rsidRPr="0023729E" w:rsidTr="008B23C4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8B23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(B)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57E2F" w:rsidRPr="0023729E" w:rsidRDefault="00957E2F" w:rsidP="00D954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Bu (Değişiklik) Yasası ile kadrosu kaldırılan “III. Derece Kütüphane, Dokümantasyon ve Bilgi İşlem Memuru” kadrosunda çalışan personel, bu (Değişiklik) Yasası ile “III. Derece Kütüphane ve Dokümantasyon Memuru”  kadrosuna</w:t>
            </w:r>
          </w:p>
        </w:tc>
      </w:tr>
      <w:tr w:rsidR="009C15C7" w:rsidRPr="0023729E" w:rsidTr="00F211F3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397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9C15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Kamu Hizmeti Komisyonu tarafından intibak ettirilir.</w:t>
            </w:r>
          </w:p>
        </w:tc>
      </w:tr>
      <w:tr w:rsidR="009C15C7" w:rsidRPr="0023729E" w:rsidTr="00F211F3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397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F211F3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743BA8" w:rsidP="009C15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Bu (Değişiklik) Yasasında öngörülen kadrolara intibak yapılırken, intibakı yapılan personel bulunduğu baremin kaçıncı kademesinde ise intibak ettirileceği baremin ona karşılığı olan kademesine intibak ettirilir.</w:t>
            </w:r>
          </w:p>
        </w:tc>
      </w:tr>
      <w:tr w:rsidR="00743BA8" w:rsidRPr="0023729E" w:rsidTr="00F211F3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397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9C15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Bu madde kuralları çerçevesinde intibakı yapılan personelin mevcut barem içi artış tarihleri, herhangi bir değişikliğe uğramadan </w:t>
            </w:r>
            <w:r w:rsidR="00D95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aynen </w:t>
            </w: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devam eder.</w:t>
            </w:r>
          </w:p>
        </w:tc>
      </w:tr>
      <w:tr w:rsidR="00743BA8" w:rsidRPr="0023729E" w:rsidTr="00F211F3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397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9C15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Bu madde kuralları çerçevesinde intibakı yapılan personelin daha önceki mevkiinde kazanmış olduğu tüm hakları </w:t>
            </w:r>
            <w:r w:rsidR="00D95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aynen </w:t>
            </w: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devam eder ve daha önceki mevkiindeki hizmet süreleri, terfi açısından intibak edildiği kadrolarda yapılmış sayılır.</w:t>
            </w:r>
          </w:p>
        </w:tc>
      </w:tr>
      <w:tr w:rsidR="00743BA8" w:rsidRPr="0023729E" w:rsidTr="00F211F3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397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BA8" w:rsidRPr="0023729E" w:rsidRDefault="00743BA8" w:rsidP="009C15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Bu (Değişiklik) Yasası ile kadrosu kaldırılan personelin kadroları ile ilişkileri ve bu kadronun kendilerine verdiği tüm hak ve yükümlülükleri emekliye ayrılıncaya veya başka bir kadroya atanıncaya kadar </w:t>
            </w:r>
            <w:r w:rsidR="00D9542B" w:rsidRPr="00D954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aynen </w:t>
            </w:r>
            <w:r w:rsidRPr="0023729E">
              <w:rPr>
                <w:rFonts w:ascii="Times New Roman" w:hAnsi="Times New Roman"/>
                <w:sz w:val="24"/>
                <w:szCs w:val="24"/>
                <w:lang w:eastAsia="en-US"/>
              </w:rPr>
              <w:t>devam eder.</w:t>
            </w:r>
          </w:p>
        </w:tc>
      </w:tr>
      <w:tr w:rsidR="009C15C7" w:rsidRPr="0023729E" w:rsidTr="009C15C7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397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9C15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C15C7" w:rsidRPr="0023729E" w:rsidRDefault="009C15C7" w:rsidP="009C15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7607" w:rsidRPr="0023729E" w:rsidTr="00F95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18" w:type="dxa"/>
            <w:gridSpan w:val="2"/>
          </w:tcPr>
          <w:p w:rsidR="00397607" w:rsidRPr="0023729E" w:rsidRDefault="00397607" w:rsidP="00290611">
            <w:pPr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7920" w:type="dxa"/>
            <w:gridSpan w:val="4"/>
          </w:tcPr>
          <w:p w:rsidR="00397607" w:rsidRPr="0023729E" w:rsidRDefault="00397607" w:rsidP="00290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9E">
              <w:rPr>
                <w:rFonts w:ascii="Times New Roman" w:hAnsi="Times New Roman"/>
                <w:sz w:val="24"/>
                <w:szCs w:val="24"/>
              </w:rPr>
              <w:t xml:space="preserve">4. Bu Yasa, Resmi Gazete’de yayımlandığı tarihten başlayarak yürürlüğe girer.  </w:t>
            </w:r>
          </w:p>
        </w:tc>
      </w:tr>
    </w:tbl>
    <w:p w:rsidR="007672F2" w:rsidRPr="0023729E" w:rsidRDefault="007672F2" w:rsidP="00361D28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</w:p>
    <w:sectPr w:rsidR="007672F2" w:rsidRPr="0023729E" w:rsidSect="002C71B5">
      <w:footerReference w:type="default" r:id="rId8"/>
      <w:footerReference w:type="first" r:id="rId9"/>
      <w:pgSz w:w="12240" w:h="15840"/>
      <w:pgMar w:top="1440" w:right="1440" w:bottom="1440" w:left="1440" w:header="680" w:footer="68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CD" w:rsidRDefault="000A64CD" w:rsidP="00CF392F">
      <w:r>
        <w:separator/>
      </w:r>
    </w:p>
  </w:endnote>
  <w:endnote w:type="continuationSeparator" w:id="0">
    <w:p w:rsidR="000A64CD" w:rsidRDefault="000A64CD" w:rsidP="00CF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667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4CD" w:rsidRDefault="000A6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4CD" w:rsidRDefault="000A6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CD" w:rsidRDefault="000A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CD" w:rsidRDefault="000A64CD" w:rsidP="00CF392F">
      <w:r>
        <w:separator/>
      </w:r>
    </w:p>
  </w:footnote>
  <w:footnote w:type="continuationSeparator" w:id="0">
    <w:p w:rsidR="000A64CD" w:rsidRDefault="000A64CD" w:rsidP="00CF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01D"/>
    <w:multiLevelType w:val="hybridMultilevel"/>
    <w:tmpl w:val="9E04669C"/>
    <w:lvl w:ilvl="0" w:tplc="5E5EB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3256"/>
    <w:multiLevelType w:val="hybridMultilevel"/>
    <w:tmpl w:val="6478B2EC"/>
    <w:lvl w:ilvl="0" w:tplc="12E6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3"/>
    <w:rsid w:val="00001E94"/>
    <w:rsid w:val="00003180"/>
    <w:rsid w:val="0001034A"/>
    <w:rsid w:val="000150EB"/>
    <w:rsid w:val="00017FF7"/>
    <w:rsid w:val="000317B3"/>
    <w:rsid w:val="00036C99"/>
    <w:rsid w:val="00053B45"/>
    <w:rsid w:val="00061044"/>
    <w:rsid w:val="000760DD"/>
    <w:rsid w:val="000772BE"/>
    <w:rsid w:val="00077BD5"/>
    <w:rsid w:val="00077DF0"/>
    <w:rsid w:val="00082C80"/>
    <w:rsid w:val="00095CEE"/>
    <w:rsid w:val="00096647"/>
    <w:rsid w:val="00096EA5"/>
    <w:rsid w:val="00097856"/>
    <w:rsid w:val="00097A94"/>
    <w:rsid w:val="000A1966"/>
    <w:rsid w:val="000A24F3"/>
    <w:rsid w:val="000A5AA1"/>
    <w:rsid w:val="000A64CD"/>
    <w:rsid w:val="000A79FA"/>
    <w:rsid w:val="000B1822"/>
    <w:rsid w:val="000C0012"/>
    <w:rsid w:val="000C3156"/>
    <w:rsid w:val="000C5B87"/>
    <w:rsid w:val="000C704C"/>
    <w:rsid w:val="000F469E"/>
    <w:rsid w:val="000F5F6E"/>
    <w:rsid w:val="00103D82"/>
    <w:rsid w:val="00105535"/>
    <w:rsid w:val="00105595"/>
    <w:rsid w:val="00116DB1"/>
    <w:rsid w:val="00122B28"/>
    <w:rsid w:val="00126B92"/>
    <w:rsid w:val="001329F2"/>
    <w:rsid w:val="00134BA1"/>
    <w:rsid w:val="00136E2B"/>
    <w:rsid w:val="00141D52"/>
    <w:rsid w:val="001456C7"/>
    <w:rsid w:val="0014670A"/>
    <w:rsid w:val="00147C20"/>
    <w:rsid w:val="001505F6"/>
    <w:rsid w:val="00152051"/>
    <w:rsid w:val="00152D01"/>
    <w:rsid w:val="00160C14"/>
    <w:rsid w:val="001656E2"/>
    <w:rsid w:val="00167453"/>
    <w:rsid w:val="001709BB"/>
    <w:rsid w:val="00171A46"/>
    <w:rsid w:val="00174104"/>
    <w:rsid w:val="00176D37"/>
    <w:rsid w:val="00191827"/>
    <w:rsid w:val="00193551"/>
    <w:rsid w:val="001C1E0C"/>
    <w:rsid w:val="001C689A"/>
    <w:rsid w:val="001C6A23"/>
    <w:rsid w:val="001C7239"/>
    <w:rsid w:val="001E00C5"/>
    <w:rsid w:val="001E1A0E"/>
    <w:rsid w:val="00201309"/>
    <w:rsid w:val="0020264E"/>
    <w:rsid w:val="00204C44"/>
    <w:rsid w:val="002130CB"/>
    <w:rsid w:val="002147E6"/>
    <w:rsid w:val="00215C6C"/>
    <w:rsid w:val="00223569"/>
    <w:rsid w:val="0022563A"/>
    <w:rsid w:val="00225B48"/>
    <w:rsid w:val="00225DE1"/>
    <w:rsid w:val="0023000F"/>
    <w:rsid w:val="00231F00"/>
    <w:rsid w:val="00232C2F"/>
    <w:rsid w:val="002344B9"/>
    <w:rsid w:val="0023729E"/>
    <w:rsid w:val="00246B8D"/>
    <w:rsid w:val="00255B5E"/>
    <w:rsid w:val="002640D5"/>
    <w:rsid w:val="0026430D"/>
    <w:rsid w:val="0026761C"/>
    <w:rsid w:val="00270381"/>
    <w:rsid w:val="00270B7B"/>
    <w:rsid w:val="00277143"/>
    <w:rsid w:val="00290611"/>
    <w:rsid w:val="002A40F4"/>
    <w:rsid w:val="002A6F8F"/>
    <w:rsid w:val="002B0AE1"/>
    <w:rsid w:val="002B5614"/>
    <w:rsid w:val="002C2D17"/>
    <w:rsid w:val="002C71B5"/>
    <w:rsid w:val="002E2194"/>
    <w:rsid w:val="002E3CEC"/>
    <w:rsid w:val="002E4A7C"/>
    <w:rsid w:val="002E4F0C"/>
    <w:rsid w:val="002E55C2"/>
    <w:rsid w:val="002F4AA1"/>
    <w:rsid w:val="00303793"/>
    <w:rsid w:val="00305C13"/>
    <w:rsid w:val="00306A6F"/>
    <w:rsid w:val="00311D34"/>
    <w:rsid w:val="0033612C"/>
    <w:rsid w:val="00357695"/>
    <w:rsid w:val="0036127A"/>
    <w:rsid w:val="00361D28"/>
    <w:rsid w:val="003708BE"/>
    <w:rsid w:val="00373B10"/>
    <w:rsid w:val="00386B85"/>
    <w:rsid w:val="00397607"/>
    <w:rsid w:val="00397930"/>
    <w:rsid w:val="00397A79"/>
    <w:rsid w:val="003B14C9"/>
    <w:rsid w:val="003B1E08"/>
    <w:rsid w:val="003B240D"/>
    <w:rsid w:val="003B4FC3"/>
    <w:rsid w:val="003B679C"/>
    <w:rsid w:val="003B6F13"/>
    <w:rsid w:val="003C0C92"/>
    <w:rsid w:val="003D0856"/>
    <w:rsid w:val="003D1A3F"/>
    <w:rsid w:val="003D38F0"/>
    <w:rsid w:val="003D45E4"/>
    <w:rsid w:val="003E21F4"/>
    <w:rsid w:val="003E53CD"/>
    <w:rsid w:val="003E5D50"/>
    <w:rsid w:val="003E7678"/>
    <w:rsid w:val="003F4ED2"/>
    <w:rsid w:val="00402694"/>
    <w:rsid w:val="00406467"/>
    <w:rsid w:val="00407731"/>
    <w:rsid w:val="00427F1D"/>
    <w:rsid w:val="0043050D"/>
    <w:rsid w:val="0043209C"/>
    <w:rsid w:val="00447E82"/>
    <w:rsid w:val="00454E80"/>
    <w:rsid w:val="00466817"/>
    <w:rsid w:val="00467311"/>
    <w:rsid w:val="004729B5"/>
    <w:rsid w:val="00493C73"/>
    <w:rsid w:val="004A513D"/>
    <w:rsid w:val="004B3713"/>
    <w:rsid w:val="004C1A3B"/>
    <w:rsid w:val="004C2310"/>
    <w:rsid w:val="004C2A39"/>
    <w:rsid w:val="004D2DA3"/>
    <w:rsid w:val="004D737B"/>
    <w:rsid w:val="004E3507"/>
    <w:rsid w:val="00510C01"/>
    <w:rsid w:val="00510C7C"/>
    <w:rsid w:val="00516C3D"/>
    <w:rsid w:val="00516CFE"/>
    <w:rsid w:val="00522CED"/>
    <w:rsid w:val="00523702"/>
    <w:rsid w:val="0052781A"/>
    <w:rsid w:val="00530141"/>
    <w:rsid w:val="00541A5D"/>
    <w:rsid w:val="005430AA"/>
    <w:rsid w:val="00543752"/>
    <w:rsid w:val="005612B3"/>
    <w:rsid w:val="00563289"/>
    <w:rsid w:val="00565359"/>
    <w:rsid w:val="0057743B"/>
    <w:rsid w:val="00582F0E"/>
    <w:rsid w:val="00594F3F"/>
    <w:rsid w:val="00595B84"/>
    <w:rsid w:val="00597B22"/>
    <w:rsid w:val="005A2BCC"/>
    <w:rsid w:val="005A316F"/>
    <w:rsid w:val="005A66DC"/>
    <w:rsid w:val="005A7EE0"/>
    <w:rsid w:val="005B0D73"/>
    <w:rsid w:val="005B14C5"/>
    <w:rsid w:val="005B6A4A"/>
    <w:rsid w:val="005C5A61"/>
    <w:rsid w:val="005D6806"/>
    <w:rsid w:val="005F5D52"/>
    <w:rsid w:val="006003D9"/>
    <w:rsid w:val="0060398E"/>
    <w:rsid w:val="00604376"/>
    <w:rsid w:val="006043D5"/>
    <w:rsid w:val="006059AA"/>
    <w:rsid w:val="00606A70"/>
    <w:rsid w:val="00607042"/>
    <w:rsid w:val="00607AC9"/>
    <w:rsid w:val="00610D28"/>
    <w:rsid w:val="006110DF"/>
    <w:rsid w:val="00611E13"/>
    <w:rsid w:val="00612673"/>
    <w:rsid w:val="00613D15"/>
    <w:rsid w:val="006211DC"/>
    <w:rsid w:val="00623793"/>
    <w:rsid w:val="00634276"/>
    <w:rsid w:val="0063732E"/>
    <w:rsid w:val="006468D4"/>
    <w:rsid w:val="0065116A"/>
    <w:rsid w:val="006517D9"/>
    <w:rsid w:val="00652328"/>
    <w:rsid w:val="00654F04"/>
    <w:rsid w:val="00657B75"/>
    <w:rsid w:val="00657D91"/>
    <w:rsid w:val="00660D86"/>
    <w:rsid w:val="00661E4D"/>
    <w:rsid w:val="00663417"/>
    <w:rsid w:val="006672A8"/>
    <w:rsid w:val="00670614"/>
    <w:rsid w:val="00670851"/>
    <w:rsid w:val="006714FC"/>
    <w:rsid w:val="00673F99"/>
    <w:rsid w:val="00687AA7"/>
    <w:rsid w:val="00692EAA"/>
    <w:rsid w:val="006A4E3F"/>
    <w:rsid w:val="006A4FB8"/>
    <w:rsid w:val="006A595C"/>
    <w:rsid w:val="006A6499"/>
    <w:rsid w:val="006C1180"/>
    <w:rsid w:val="006C3F8B"/>
    <w:rsid w:val="006E55F1"/>
    <w:rsid w:val="00722B52"/>
    <w:rsid w:val="00723FA3"/>
    <w:rsid w:val="00725EB8"/>
    <w:rsid w:val="007313BE"/>
    <w:rsid w:val="00743BA8"/>
    <w:rsid w:val="007442FB"/>
    <w:rsid w:val="007460EA"/>
    <w:rsid w:val="007672F2"/>
    <w:rsid w:val="007679A5"/>
    <w:rsid w:val="00767DE4"/>
    <w:rsid w:val="00770A14"/>
    <w:rsid w:val="00770D8C"/>
    <w:rsid w:val="00771A65"/>
    <w:rsid w:val="00775921"/>
    <w:rsid w:val="007759C3"/>
    <w:rsid w:val="00777F5B"/>
    <w:rsid w:val="00793BF3"/>
    <w:rsid w:val="007972C1"/>
    <w:rsid w:val="007A1B7D"/>
    <w:rsid w:val="007A740F"/>
    <w:rsid w:val="007C4B3E"/>
    <w:rsid w:val="007D00A5"/>
    <w:rsid w:val="007D7E18"/>
    <w:rsid w:val="007E34FA"/>
    <w:rsid w:val="007E6938"/>
    <w:rsid w:val="007E6BD7"/>
    <w:rsid w:val="007F3AFC"/>
    <w:rsid w:val="007F414B"/>
    <w:rsid w:val="007F69C5"/>
    <w:rsid w:val="00816D59"/>
    <w:rsid w:val="00816D78"/>
    <w:rsid w:val="00822D7F"/>
    <w:rsid w:val="0083361E"/>
    <w:rsid w:val="008363D2"/>
    <w:rsid w:val="008419A2"/>
    <w:rsid w:val="008464F2"/>
    <w:rsid w:val="00851013"/>
    <w:rsid w:val="008628F6"/>
    <w:rsid w:val="00870D5C"/>
    <w:rsid w:val="00871052"/>
    <w:rsid w:val="008738D5"/>
    <w:rsid w:val="00873B12"/>
    <w:rsid w:val="00875FE0"/>
    <w:rsid w:val="00887A45"/>
    <w:rsid w:val="008969DB"/>
    <w:rsid w:val="008A2870"/>
    <w:rsid w:val="008A4375"/>
    <w:rsid w:val="008B23C4"/>
    <w:rsid w:val="008B5C21"/>
    <w:rsid w:val="008B7407"/>
    <w:rsid w:val="008D01DF"/>
    <w:rsid w:val="008D0A80"/>
    <w:rsid w:val="008D7762"/>
    <w:rsid w:val="008F60B5"/>
    <w:rsid w:val="00900F2C"/>
    <w:rsid w:val="00914350"/>
    <w:rsid w:val="00925D41"/>
    <w:rsid w:val="0092710D"/>
    <w:rsid w:val="00931A8B"/>
    <w:rsid w:val="00945C9F"/>
    <w:rsid w:val="00951A3E"/>
    <w:rsid w:val="009525B5"/>
    <w:rsid w:val="00952828"/>
    <w:rsid w:val="0095326D"/>
    <w:rsid w:val="00957E2F"/>
    <w:rsid w:val="00967C40"/>
    <w:rsid w:val="009702AB"/>
    <w:rsid w:val="00974343"/>
    <w:rsid w:val="00980524"/>
    <w:rsid w:val="00985210"/>
    <w:rsid w:val="00991571"/>
    <w:rsid w:val="009A0B76"/>
    <w:rsid w:val="009A34A5"/>
    <w:rsid w:val="009A3A02"/>
    <w:rsid w:val="009A44E0"/>
    <w:rsid w:val="009A6B11"/>
    <w:rsid w:val="009B22BE"/>
    <w:rsid w:val="009B37A5"/>
    <w:rsid w:val="009C15C7"/>
    <w:rsid w:val="009C4B9B"/>
    <w:rsid w:val="009C7F1C"/>
    <w:rsid w:val="009D0EF5"/>
    <w:rsid w:val="009D18D9"/>
    <w:rsid w:val="009E026D"/>
    <w:rsid w:val="009E51C1"/>
    <w:rsid w:val="009F1AF4"/>
    <w:rsid w:val="009F3937"/>
    <w:rsid w:val="00A02CEC"/>
    <w:rsid w:val="00A1287B"/>
    <w:rsid w:val="00A14185"/>
    <w:rsid w:val="00A14595"/>
    <w:rsid w:val="00A20BE5"/>
    <w:rsid w:val="00A25D21"/>
    <w:rsid w:val="00A27C79"/>
    <w:rsid w:val="00A3154F"/>
    <w:rsid w:val="00A36FE4"/>
    <w:rsid w:val="00A42019"/>
    <w:rsid w:val="00A45DB8"/>
    <w:rsid w:val="00A53A33"/>
    <w:rsid w:val="00A56107"/>
    <w:rsid w:val="00A57796"/>
    <w:rsid w:val="00A6001E"/>
    <w:rsid w:val="00A61B83"/>
    <w:rsid w:val="00A62609"/>
    <w:rsid w:val="00A655F8"/>
    <w:rsid w:val="00A71BDF"/>
    <w:rsid w:val="00A72C4C"/>
    <w:rsid w:val="00A73906"/>
    <w:rsid w:val="00A76ECE"/>
    <w:rsid w:val="00A776F3"/>
    <w:rsid w:val="00A862D5"/>
    <w:rsid w:val="00AA0A5D"/>
    <w:rsid w:val="00AA0C73"/>
    <w:rsid w:val="00AA3272"/>
    <w:rsid w:val="00AA5AB3"/>
    <w:rsid w:val="00AB1CEE"/>
    <w:rsid w:val="00AB62A5"/>
    <w:rsid w:val="00AB796E"/>
    <w:rsid w:val="00AE261E"/>
    <w:rsid w:val="00AE4135"/>
    <w:rsid w:val="00AE4DCC"/>
    <w:rsid w:val="00AF0B5C"/>
    <w:rsid w:val="00B05CDF"/>
    <w:rsid w:val="00B06DD3"/>
    <w:rsid w:val="00B076CF"/>
    <w:rsid w:val="00B201BC"/>
    <w:rsid w:val="00B22AD8"/>
    <w:rsid w:val="00B26B8D"/>
    <w:rsid w:val="00B421B6"/>
    <w:rsid w:val="00B51248"/>
    <w:rsid w:val="00B529C4"/>
    <w:rsid w:val="00B62A78"/>
    <w:rsid w:val="00B746A6"/>
    <w:rsid w:val="00B74793"/>
    <w:rsid w:val="00B7587F"/>
    <w:rsid w:val="00B83472"/>
    <w:rsid w:val="00B91CB9"/>
    <w:rsid w:val="00B95A1C"/>
    <w:rsid w:val="00BA1784"/>
    <w:rsid w:val="00BA4725"/>
    <w:rsid w:val="00BB633C"/>
    <w:rsid w:val="00BC2D51"/>
    <w:rsid w:val="00BD0700"/>
    <w:rsid w:val="00BE4236"/>
    <w:rsid w:val="00BE524A"/>
    <w:rsid w:val="00BE5692"/>
    <w:rsid w:val="00BE591B"/>
    <w:rsid w:val="00BF06CE"/>
    <w:rsid w:val="00BF17FF"/>
    <w:rsid w:val="00BF1DA0"/>
    <w:rsid w:val="00BF3163"/>
    <w:rsid w:val="00BF3782"/>
    <w:rsid w:val="00BF74F4"/>
    <w:rsid w:val="00BF775E"/>
    <w:rsid w:val="00BF7AD5"/>
    <w:rsid w:val="00C047C1"/>
    <w:rsid w:val="00C1678F"/>
    <w:rsid w:val="00C1743D"/>
    <w:rsid w:val="00C23B48"/>
    <w:rsid w:val="00C27BFF"/>
    <w:rsid w:val="00C343A8"/>
    <w:rsid w:val="00C42CF5"/>
    <w:rsid w:val="00C45E83"/>
    <w:rsid w:val="00C47309"/>
    <w:rsid w:val="00C51067"/>
    <w:rsid w:val="00C64162"/>
    <w:rsid w:val="00C65EB1"/>
    <w:rsid w:val="00C67BDB"/>
    <w:rsid w:val="00C7651B"/>
    <w:rsid w:val="00C77C06"/>
    <w:rsid w:val="00C8575F"/>
    <w:rsid w:val="00CA0E70"/>
    <w:rsid w:val="00CA4011"/>
    <w:rsid w:val="00CA45FB"/>
    <w:rsid w:val="00CA6599"/>
    <w:rsid w:val="00CC2C58"/>
    <w:rsid w:val="00CD4980"/>
    <w:rsid w:val="00CD6D8D"/>
    <w:rsid w:val="00CD733E"/>
    <w:rsid w:val="00CE6F5D"/>
    <w:rsid w:val="00CF392F"/>
    <w:rsid w:val="00CF5ADF"/>
    <w:rsid w:val="00D01D84"/>
    <w:rsid w:val="00D027D4"/>
    <w:rsid w:val="00D03FC3"/>
    <w:rsid w:val="00D07044"/>
    <w:rsid w:val="00D21C02"/>
    <w:rsid w:val="00D2366C"/>
    <w:rsid w:val="00D2490E"/>
    <w:rsid w:val="00D31D1D"/>
    <w:rsid w:val="00D41566"/>
    <w:rsid w:val="00D44C95"/>
    <w:rsid w:val="00D471DC"/>
    <w:rsid w:val="00D50C96"/>
    <w:rsid w:val="00D53444"/>
    <w:rsid w:val="00D579A0"/>
    <w:rsid w:val="00D667C4"/>
    <w:rsid w:val="00D71030"/>
    <w:rsid w:val="00D75281"/>
    <w:rsid w:val="00D76124"/>
    <w:rsid w:val="00D84A4F"/>
    <w:rsid w:val="00D90312"/>
    <w:rsid w:val="00D936BC"/>
    <w:rsid w:val="00D9542B"/>
    <w:rsid w:val="00DA0C5D"/>
    <w:rsid w:val="00DB371E"/>
    <w:rsid w:val="00DB6AA3"/>
    <w:rsid w:val="00DC0A31"/>
    <w:rsid w:val="00DD52DD"/>
    <w:rsid w:val="00DD54D0"/>
    <w:rsid w:val="00DD5548"/>
    <w:rsid w:val="00DD7750"/>
    <w:rsid w:val="00DE4218"/>
    <w:rsid w:val="00DE58DB"/>
    <w:rsid w:val="00DF4FEF"/>
    <w:rsid w:val="00DF5F17"/>
    <w:rsid w:val="00E02F4F"/>
    <w:rsid w:val="00E04211"/>
    <w:rsid w:val="00E0632B"/>
    <w:rsid w:val="00E30C31"/>
    <w:rsid w:val="00E43E3A"/>
    <w:rsid w:val="00E541EB"/>
    <w:rsid w:val="00E56FE5"/>
    <w:rsid w:val="00E76D31"/>
    <w:rsid w:val="00E778CD"/>
    <w:rsid w:val="00E80EBC"/>
    <w:rsid w:val="00EA083E"/>
    <w:rsid w:val="00EA289E"/>
    <w:rsid w:val="00EA35A5"/>
    <w:rsid w:val="00EA411F"/>
    <w:rsid w:val="00EA4287"/>
    <w:rsid w:val="00EA78D8"/>
    <w:rsid w:val="00EA78DB"/>
    <w:rsid w:val="00EC3B71"/>
    <w:rsid w:val="00EC6F98"/>
    <w:rsid w:val="00EE2036"/>
    <w:rsid w:val="00EE31D0"/>
    <w:rsid w:val="00EE5F16"/>
    <w:rsid w:val="00F037AE"/>
    <w:rsid w:val="00F0671B"/>
    <w:rsid w:val="00F121D4"/>
    <w:rsid w:val="00F12E8B"/>
    <w:rsid w:val="00F2051A"/>
    <w:rsid w:val="00F211F3"/>
    <w:rsid w:val="00F21DA6"/>
    <w:rsid w:val="00F241AB"/>
    <w:rsid w:val="00F276F6"/>
    <w:rsid w:val="00F37D35"/>
    <w:rsid w:val="00F433F1"/>
    <w:rsid w:val="00F518C0"/>
    <w:rsid w:val="00F6499E"/>
    <w:rsid w:val="00F721AF"/>
    <w:rsid w:val="00F72F00"/>
    <w:rsid w:val="00F73405"/>
    <w:rsid w:val="00F75C9D"/>
    <w:rsid w:val="00F83221"/>
    <w:rsid w:val="00F864E4"/>
    <w:rsid w:val="00F86E5A"/>
    <w:rsid w:val="00F90D05"/>
    <w:rsid w:val="00F9546A"/>
    <w:rsid w:val="00FB27A3"/>
    <w:rsid w:val="00FB3DD5"/>
    <w:rsid w:val="00FB4436"/>
    <w:rsid w:val="00FC00F9"/>
    <w:rsid w:val="00FC322D"/>
    <w:rsid w:val="00FD5EEE"/>
    <w:rsid w:val="00FE0660"/>
    <w:rsid w:val="00FE534F"/>
    <w:rsid w:val="00FF0DA5"/>
    <w:rsid w:val="00FF1662"/>
    <w:rsid w:val="00FF55B4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4"/>
    <w:pPr>
      <w:spacing w:after="0" w:line="240" w:lineRule="auto"/>
    </w:pPr>
    <w:rPr>
      <w:rFonts w:ascii="Times" w:eastAsia="Times New Roman" w:hAnsi="Times" w:cs="Times New Roman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ListParagraph">
    <w:name w:val="List Paragraph"/>
    <w:basedOn w:val="Normal"/>
    <w:uiPriority w:val="34"/>
    <w:qFormat/>
    <w:rsid w:val="001C7239"/>
    <w:pPr>
      <w:ind w:left="720"/>
      <w:contextualSpacing/>
    </w:pPr>
  </w:style>
  <w:style w:type="table" w:styleId="TableGrid">
    <w:name w:val="Table Grid"/>
    <w:basedOn w:val="TableNormal"/>
    <w:uiPriority w:val="59"/>
    <w:rsid w:val="00B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5D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4"/>
    <w:pPr>
      <w:spacing w:after="0" w:line="240" w:lineRule="auto"/>
    </w:pPr>
    <w:rPr>
      <w:rFonts w:ascii="Times" w:eastAsia="Times New Roman" w:hAnsi="Times" w:cs="Times New Roman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ListParagraph">
    <w:name w:val="List Paragraph"/>
    <w:basedOn w:val="Normal"/>
    <w:uiPriority w:val="34"/>
    <w:qFormat/>
    <w:rsid w:val="001C7239"/>
    <w:pPr>
      <w:ind w:left="720"/>
      <w:contextualSpacing/>
    </w:pPr>
  </w:style>
  <w:style w:type="table" w:styleId="TableGrid">
    <w:name w:val="Table Grid"/>
    <w:basedOn w:val="TableNormal"/>
    <w:uiPriority w:val="59"/>
    <w:rsid w:val="00B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5D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Sinem01 Demirgil</dc:creator>
  <cp:lastModifiedBy>Çilem Kanat</cp:lastModifiedBy>
  <cp:revision>2</cp:revision>
  <cp:lastPrinted>2023-12-01T12:11:00Z</cp:lastPrinted>
  <dcterms:created xsi:type="dcterms:W3CDTF">2023-12-21T13:11:00Z</dcterms:created>
  <dcterms:modified xsi:type="dcterms:W3CDTF">2023-12-21T13:11:00Z</dcterms:modified>
</cp:coreProperties>
</file>