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55"/>
        <w:gridCol w:w="590"/>
        <w:gridCol w:w="550"/>
        <w:gridCol w:w="5577"/>
      </w:tblGrid>
      <w:tr w:rsidR="009A142D" w:rsidRPr="00562C19" w:rsidTr="005921DD">
        <w:tc>
          <w:tcPr>
            <w:tcW w:w="9248" w:type="dxa"/>
            <w:gridSpan w:val="6"/>
          </w:tcPr>
          <w:p w:rsidR="009A142D" w:rsidRPr="009121BF" w:rsidRDefault="009121BF" w:rsidP="005921DD">
            <w:pPr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9121BF">
              <w:rPr>
                <w:rFonts w:ascii="Times New Roman" w:hAnsi="Times New Roman" w:cs="Times New Roman"/>
                <w:lang w:val="en-US" w:bidi="en-US"/>
              </w:rPr>
              <w:t xml:space="preserve">Kuzey Kıbrıs Türk Cumhuriyeti Cumhuriyet Meclisi’nin </w:t>
            </w:r>
            <w:r>
              <w:rPr>
                <w:rFonts w:ascii="Times New Roman" w:hAnsi="Times New Roman" w:cs="Times New Roman"/>
                <w:lang w:val="en-US" w:bidi="en-US"/>
              </w:rPr>
              <w:t xml:space="preserve">13 Kasım </w:t>
            </w:r>
            <w:r w:rsidRPr="009121BF">
              <w:rPr>
                <w:rFonts w:ascii="Times New Roman" w:hAnsi="Times New Roman" w:cs="Times New Roman"/>
                <w:lang w:val="en-US" w:bidi="en-US"/>
              </w:rPr>
              <w:t xml:space="preserve">2017 tarihli </w:t>
            </w:r>
            <w:r>
              <w:rPr>
                <w:rFonts w:ascii="Times New Roman" w:hAnsi="Times New Roman" w:cs="Times New Roman"/>
                <w:lang w:val="en-US" w:bidi="en-US"/>
              </w:rPr>
              <w:t>Seksendokuzuncu</w:t>
            </w:r>
            <w:r w:rsidRPr="009121BF">
              <w:rPr>
                <w:rFonts w:ascii="Times New Roman" w:hAnsi="Times New Roman" w:cs="Times New Roman"/>
                <w:lang w:val="en-US" w:bidi="en-US"/>
              </w:rPr>
              <w:t xml:space="preserve"> Birleşiminde Oybirliğiyle kabul olunan “</w:t>
            </w:r>
            <w:r>
              <w:rPr>
                <w:rFonts w:ascii="Times New Roman" w:hAnsi="Times New Roman" w:cs="Times New Roman"/>
                <w:lang w:val="en-US" w:bidi="en-US"/>
              </w:rPr>
              <w:t>Askerlik</w:t>
            </w:r>
            <w:r w:rsidRPr="009121BF">
              <w:rPr>
                <w:rFonts w:ascii="Times New Roman" w:hAnsi="Times New Roman" w:cs="Times New Roman"/>
                <w:lang w:val="en-US" w:bidi="en-US"/>
              </w:rPr>
              <w:t xml:space="preserve"> (Değişiklik) Yasası” Anayasanın 94’üncü maddesinin (1)’inci fıkrası gereğince Kuzey Kıbrıs Türk Cumhuriyeti Cumhurbaşkanı tarafından Resmi Gazete’de yayımlanmak suretiyle ilan olunur.</w:t>
            </w:r>
          </w:p>
          <w:p w:rsidR="009121BF" w:rsidRDefault="009121BF" w:rsidP="005921DD">
            <w:pPr>
              <w:rPr>
                <w:rFonts w:cs="Arial"/>
                <w:lang w:val="en-US" w:bidi="en-US"/>
              </w:rPr>
            </w:pPr>
          </w:p>
          <w:p w:rsidR="009121BF" w:rsidRPr="009121BF" w:rsidRDefault="009121BF" w:rsidP="005921DD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9121BF">
              <w:rPr>
                <w:rFonts w:ascii="Times New Roman" w:hAnsi="Times New Roman" w:cs="Times New Roman"/>
                <w:lang w:val="en-US" w:bidi="en-US"/>
              </w:rPr>
              <w:t>Sayı:65/2017</w:t>
            </w:r>
          </w:p>
          <w:p w:rsidR="009121BF" w:rsidRPr="00562C19" w:rsidRDefault="009121BF" w:rsidP="0059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5"/>
          </w:tcPr>
          <w:p w:rsidR="009A142D" w:rsidRPr="00562C19" w:rsidRDefault="009121BF" w:rsidP="005921DD">
            <w:pPr>
              <w:jc w:val="center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ASKERLİK (DEĞİŞİKLİK) YASA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  <w:tr w:rsidR="009121BF" w:rsidRPr="00562C19" w:rsidTr="005921DD">
        <w:tc>
          <w:tcPr>
            <w:tcW w:w="1668" w:type="dxa"/>
          </w:tcPr>
          <w:p w:rsidR="009121BF" w:rsidRPr="00562C19" w:rsidRDefault="009121BF" w:rsidP="005921DD">
            <w:pPr>
              <w:jc w:val="center"/>
            </w:pPr>
          </w:p>
        </w:tc>
        <w:tc>
          <w:tcPr>
            <w:tcW w:w="7580" w:type="dxa"/>
            <w:gridSpan w:val="5"/>
          </w:tcPr>
          <w:p w:rsidR="009121BF" w:rsidRPr="00562C19" w:rsidRDefault="009121BF" w:rsidP="005921DD">
            <w:pPr>
              <w:jc w:val="center"/>
            </w:pP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5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     Kuzey Kıbrıs Türk Cumhuriyeti Cumhuriyet Meclisi aşağıdaki Yasa</w:t>
            </w:r>
            <w:r w:rsidR="00FC6577" w:rsidRPr="00562C19">
              <w:rPr>
                <w:rFonts w:ascii="Times New Roman" w:hAnsi="Times New Roman" w:cs="Times New Roman"/>
              </w:rPr>
              <w:t>y</w:t>
            </w:r>
            <w:r w:rsidRPr="00562C19">
              <w:rPr>
                <w:rFonts w:ascii="Times New Roman" w:hAnsi="Times New Roman" w:cs="Times New Roman"/>
              </w:rPr>
              <w:t>ı yapar:</w:t>
            </w: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5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Kısa İsim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59/2000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43/2002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59/2003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  4/2004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  5/2005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22/2008</w:t>
            </w:r>
          </w:p>
          <w:p w:rsidR="009A142D" w:rsidRPr="00562C19" w:rsidRDefault="00155A92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</w:t>
            </w:r>
            <w:r w:rsidR="009A142D" w:rsidRPr="00562C19">
              <w:rPr>
                <w:rFonts w:ascii="Times New Roman" w:hAnsi="Times New Roman" w:cs="Times New Roman"/>
              </w:rPr>
              <w:t>28/2008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35/2009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13/2012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64/2014</w:t>
            </w:r>
          </w:p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  6/2015</w:t>
            </w:r>
          </w:p>
        </w:tc>
        <w:tc>
          <w:tcPr>
            <w:tcW w:w="7580" w:type="dxa"/>
            <w:gridSpan w:val="5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1.</w:t>
            </w:r>
            <w:r w:rsidR="00155A92" w:rsidRPr="00562C19">
              <w:rPr>
                <w:rFonts w:ascii="Times New Roman" w:hAnsi="Times New Roman" w:cs="Times New Roman"/>
              </w:rPr>
              <w:t xml:space="preserve"> </w:t>
            </w:r>
            <w:r w:rsidRPr="00562C19">
              <w:rPr>
                <w:rFonts w:ascii="Times New Roman" w:hAnsi="Times New Roman" w:cs="Times New Roman"/>
              </w:rPr>
              <w:t xml:space="preserve">Bu Yasa, Askerlik (Değişiklik) Yasası olarak isimlendirilir ve aşağıda “Esas Yasa” olarak anılan Askerlik Yasası ile birlikte okunur. </w:t>
            </w: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  <w:gridSpan w:val="3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3A6" w:rsidRPr="00562C19" w:rsidTr="005921DD">
        <w:tc>
          <w:tcPr>
            <w:tcW w:w="1668" w:type="dxa"/>
          </w:tcPr>
          <w:p w:rsidR="00F853A6" w:rsidRPr="00562C19" w:rsidRDefault="00F853A6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Esas Yasanın 5’inci Maddesinin</w:t>
            </w:r>
          </w:p>
        </w:tc>
        <w:tc>
          <w:tcPr>
            <w:tcW w:w="7580" w:type="dxa"/>
            <w:gridSpan w:val="5"/>
          </w:tcPr>
          <w:p w:rsidR="00F853A6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2. Esas Yasa, 5’inci maddesinin (1)’inci fıkrasının koşul bendi kaldırılmak ve yerine aşağıdaki yeni koşul bendi konmak suretiyle değiştirilir:</w:t>
            </w:r>
          </w:p>
        </w:tc>
      </w:tr>
      <w:tr w:rsidR="005E40EE" w:rsidRPr="00562C19" w:rsidTr="005921DD">
        <w:tc>
          <w:tcPr>
            <w:tcW w:w="1668" w:type="dxa"/>
          </w:tcPr>
          <w:p w:rsidR="005E40EE" w:rsidRPr="00562C19" w:rsidRDefault="005E40EE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Değiştirilmesi</w:t>
            </w:r>
          </w:p>
        </w:tc>
        <w:tc>
          <w:tcPr>
            <w:tcW w:w="7580" w:type="dxa"/>
            <w:gridSpan w:val="5"/>
          </w:tcPr>
          <w:p w:rsidR="005E40EE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40EE" w:rsidRPr="00562C19" w:rsidTr="005921DD">
        <w:tc>
          <w:tcPr>
            <w:tcW w:w="1668" w:type="dxa"/>
          </w:tcPr>
          <w:p w:rsidR="005E40EE" w:rsidRPr="00562C19" w:rsidRDefault="005E40EE" w:rsidP="0059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40EE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gridSpan w:val="4"/>
          </w:tcPr>
          <w:p w:rsidR="005E40EE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      “Ancak askerlik çağına girmeden önce Kuzey Kıbrıs Türk Cumhuriyeti yurttaşlığına geçenler, askerlik çağına girdikleri tarihten başlayarak; askerlik çağına girdikten sonra Kuzey Kıbrıs Türk Cumhuriyeti yurttaşlığına geçenler ise yurttaşlığa ge</w:t>
            </w:r>
            <w:r w:rsidR="00D44E9C">
              <w:rPr>
                <w:rFonts w:ascii="Times New Roman" w:hAnsi="Times New Roman" w:cs="Times New Roman"/>
              </w:rPr>
              <w:t>çtikleri tarihten başlayarak bir</w:t>
            </w:r>
            <w:r w:rsidR="00283159">
              <w:rPr>
                <w:rFonts w:ascii="Times New Roman" w:hAnsi="Times New Roman" w:cs="Times New Roman"/>
              </w:rPr>
              <w:t xml:space="preserve"> yıl içinde müracaat etmek zorundadırlar.</w:t>
            </w:r>
            <w:r w:rsidRPr="00562C19">
              <w:rPr>
                <w:rFonts w:ascii="Times New Roman" w:hAnsi="Times New Roman" w:cs="Times New Roman"/>
              </w:rPr>
              <w:t xml:space="preserve"> </w:t>
            </w:r>
            <w:r w:rsidR="00E453E1">
              <w:rPr>
                <w:rFonts w:ascii="Times New Roman" w:hAnsi="Times New Roman" w:cs="Times New Roman"/>
              </w:rPr>
              <w:t>Meşru bir maze</w:t>
            </w:r>
            <w:r w:rsidR="004D4A53">
              <w:rPr>
                <w:rFonts w:ascii="Times New Roman" w:hAnsi="Times New Roman" w:cs="Times New Roman"/>
              </w:rPr>
              <w:t>reti olmaksızın süresi içi</w:t>
            </w:r>
            <w:r w:rsidR="00D8594B">
              <w:rPr>
                <w:rFonts w:ascii="Times New Roman" w:hAnsi="Times New Roman" w:cs="Times New Roman"/>
              </w:rPr>
              <w:t xml:space="preserve">nde müracaat etmeyenlere saklı denir. </w:t>
            </w:r>
            <w:r w:rsidRPr="00562C19">
              <w:rPr>
                <w:rFonts w:ascii="Times New Roman" w:hAnsi="Times New Roman" w:cs="Times New Roman"/>
              </w:rPr>
              <w:t>”</w:t>
            </w:r>
          </w:p>
        </w:tc>
      </w:tr>
      <w:tr w:rsidR="005E40EE" w:rsidRPr="00562C19" w:rsidTr="005921DD">
        <w:tc>
          <w:tcPr>
            <w:tcW w:w="1668" w:type="dxa"/>
          </w:tcPr>
          <w:p w:rsidR="005E40EE" w:rsidRPr="00562C19" w:rsidRDefault="005E40EE" w:rsidP="0059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40EE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2" w:type="dxa"/>
            <w:gridSpan w:val="4"/>
          </w:tcPr>
          <w:p w:rsidR="005E40EE" w:rsidRPr="00562C19" w:rsidRDefault="005E40EE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Esas Yasanın Geçici 4’üncü </w:t>
            </w:r>
          </w:p>
        </w:tc>
        <w:tc>
          <w:tcPr>
            <w:tcW w:w="7580" w:type="dxa"/>
            <w:gridSpan w:val="5"/>
          </w:tcPr>
          <w:p w:rsidR="009A142D" w:rsidRPr="00562C19" w:rsidRDefault="00160F18" w:rsidP="00592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142D" w:rsidRPr="00562C19">
              <w:rPr>
                <w:rFonts w:ascii="Times New Roman" w:hAnsi="Times New Roman" w:cs="Times New Roman"/>
              </w:rPr>
              <w:t>. Esas Yasa, Geçici 4’üncü maddesinin (1)’inci fıkrası kaldırılmak ve yerine aşağıdaki yeni (1)’inci fıkra konmak suretiyle değiştirilir:</w:t>
            </w:r>
          </w:p>
        </w:tc>
      </w:tr>
      <w:tr w:rsidR="009A142D" w:rsidRPr="00562C19" w:rsidTr="005921DD">
        <w:tc>
          <w:tcPr>
            <w:tcW w:w="1668" w:type="dxa"/>
          </w:tcPr>
          <w:p w:rsidR="009A142D" w:rsidRPr="00562C19" w:rsidRDefault="009A142D" w:rsidP="005921D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Maddesinin</w:t>
            </w:r>
          </w:p>
        </w:tc>
        <w:tc>
          <w:tcPr>
            <w:tcW w:w="7580" w:type="dxa"/>
            <w:gridSpan w:val="5"/>
          </w:tcPr>
          <w:p w:rsidR="009A142D" w:rsidRPr="00562C19" w:rsidRDefault="009A142D" w:rsidP="00592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657" w:rsidRPr="00562C19" w:rsidTr="005921DD">
        <w:tc>
          <w:tcPr>
            <w:tcW w:w="1668" w:type="dxa"/>
          </w:tcPr>
          <w:p w:rsidR="00151657" w:rsidRPr="00562C19" w:rsidRDefault="00151657" w:rsidP="005921DD">
            <w:r w:rsidRPr="00562C19">
              <w:rPr>
                <w:rFonts w:ascii="Times New Roman" w:hAnsi="Times New Roman" w:cs="Times New Roman"/>
              </w:rPr>
              <w:t>Değiştirilmesi</w:t>
            </w:r>
          </w:p>
        </w:tc>
        <w:tc>
          <w:tcPr>
            <w:tcW w:w="708" w:type="dxa"/>
          </w:tcPr>
          <w:p w:rsidR="00151657" w:rsidRPr="00562C19" w:rsidRDefault="00151657" w:rsidP="005921DD">
            <w:pPr>
              <w:jc w:val="both"/>
            </w:pPr>
          </w:p>
        </w:tc>
        <w:tc>
          <w:tcPr>
            <w:tcW w:w="745" w:type="dxa"/>
            <w:gridSpan w:val="2"/>
          </w:tcPr>
          <w:p w:rsidR="00151657" w:rsidRPr="00151657" w:rsidRDefault="00151657" w:rsidP="00592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“(1)</w:t>
            </w:r>
          </w:p>
        </w:tc>
        <w:tc>
          <w:tcPr>
            <w:tcW w:w="550" w:type="dxa"/>
          </w:tcPr>
          <w:p w:rsidR="00151657" w:rsidRPr="00151657" w:rsidRDefault="00151657" w:rsidP="005921DD">
            <w:pPr>
              <w:jc w:val="both"/>
              <w:rPr>
                <w:rFonts w:ascii="Times New Roman" w:hAnsi="Times New Roman" w:cs="Times New Roman"/>
              </w:rPr>
            </w:pPr>
            <w:r w:rsidRPr="00151657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577" w:type="dxa"/>
          </w:tcPr>
          <w:p w:rsidR="00151657" w:rsidRPr="00562C19" w:rsidRDefault="00151657" w:rsidP="005921DD">
            <w:pPr>
              <w:jc w:val="both"/>
            </w:pPr>
            <w:r w:rsidRPr="00562C19">
              <w:rPr>
                <w:rFonts w:ascii="Times New Roman" w:hAnsi="Times New Roman" w:cs="Times New Roman"/>
              </w:rPr>
              <w:t xml:space="preserve">Bu (Değişiklik) Yasasının yürürlüğe girdiği tarihten önce </w:t>
            </w:r>
            <w:r w:rsidR="00944366">
              <w:rPr>
                <w:rFonts w:ascii="Times New Roman" w:hAnsi="Times New Roman" w:cs="Times New Roman"/>
              </w:rPr>
              <w:t>A</w:t>
            </w:r>
            <w:r w:rsidR="00C035B9">
              <w:rPr>
                <w:rFonts w:ascii="Times New Roman" w:hAnsi="Times New Roman" w:cs="Times New Roman"/>
              </w:rPr>
              <w:t>sal Şube kayıtlarında bulunan</w:t>
            </w:r>
            <w:r w:rsidR="00944366">
              <w:rPr>
                <w:rFonts w:ascii="Times New Roman" w:hAnsi="Times New Roman" w:cs="Times New Roman"/>
              </w:rPr>
              <w:t xml:space="preserve"> ve bir başka ülkede askerli</w:t>
            </w:r>
            <w:r w:rsidR="00C035B9">
              <w:rPr>
                <w:rFonts w:ascii="Times New Roman" w:hAnsi="Times New Roman" w:cs="Times New Roman"/>
              </w:rPr>
              <w:t>k hizmeti yaparak terhis olan</w:t>
            </w:r>
            <w:r w:rsidR="00DE78CB">
              <w:rPr>
                <w:rFonts w:ascii="Times New Roman" w:hAnsi="Times New Roman" w:cs="Times New Roman"/>
              </w:rPr>
              <w:t>lar</w:t>
            </w:r>
            <w:r w:rsidR="00944366">
              <w:rPr>
                <w:rFonts w:ascii="Times New Roman" w:hAnsi="Times New Roman" w:cs="Times New Roman"/>
              </w:rPr>
              <w:t xml:space="preserve"> bu Yasanın 17’nci maddesinin (1)’inci fıkrasının (A) bendi uyarınca aske</w:t>
            </w:r>
            <w:r w:rsidR="00C035B9">
              <w:rPr>
                <w:rFonts w:ascii="Times New Roman" w:hAnsi="Times New Roman" w:cs="Times New Roman"/>
              </w:rPr>
              <w:t>rlik hizmetini yerine getirir</w:t>
            </w:r>
            <w:r w:rsidR="00DE78CB">
              <w:rPr>
                <w:rFonts w:ascii="Times New Roman" w:hAnsi="Times New Roman" w:cs="Times New Roman"/>
              </w:rPr>
              <w:t>ler</w:t>
            </w:r>
            <w:r w:rsidR="0094436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22E18" w:rsidRDefault="00D3384F">
      <w:r>
        <w:br w:type="page"/>
      </w:r>
    </w:p>
    <w:tbl>
      <w:tblPr>
        <w:tblStyle w:val="TableGrid"/>
        <w:tblpPr w:leftFromText="141" w:rightFromText="141" w:vertAnchor="page" w:horzAnchor="margin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42"/>
        <w:gridCol w:w="603"/>
        <w:gridCol w:w="6127"/>
      </w:tblGrid>
      <w:tr w:rsidR="009A142D" w:rsidRPr="00562C19" w:rsidTr="00BC4E99">
        <w:tc>
          <w:tcPr>
            <w:tcW w:w="1668" w:type="dxa"/>
          </w:tcPr>
          <w:p w:rsidR="00D34F9C" w:rsidRPr="00562C19" w:rsidRDefault="00D34F9C" w:rsidP="009C1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42D" w:rsidRPr="00562C19" w:rsidRDefault="009A142D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9A142D" w:rsidRPr="00562C19" w:rsidRDefault="005921DD" w:rsidP="000C2F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6127" w:type="dxa"/>
          </w:tcPr>
          <w:p w:rsidR="009A142D" w:rsidRDefault="005921DD" w:rsidP="002B799B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 xml:space="preserve">Bu (Değişiklik) Yasasının yürürlüğe girdiği tarihten önce </w:t>
            </w:r>
            <w:r>
              <w:rPr>
                <w:rFonts w:ascii="Times New Roman" w:hAnsi="Times New Roman" w:cs="Times New Roman"/>
              </w:rPr>
              <w:t>Asal Şube kayıtlarında bulunmayan ve bir başka ülkede askerlik hizmeti yaparak terhis olanlar ile bir başka ülkede askerlik hizmeti yapmak için silah altına  alınanlar, askerlik yükümlülüğünden muaf tutulurlar.”</w:t>
            </w:r>
          </w:p>
          <w:p w:rsidR="009F3EF6" w:rsidRPr="00562C19" w:rsidRDefault="009F3EF6" w:rsidP="002B7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1DD" w:rsidRPr="00562C19" w:rsidTr="00BC4E99">
        <w:tc>
          <w:tcPr>
            <w:tcW w:w="1668" w:type="dxa"/>
          </w:tcPr>
          <w:p w:rsidR="005921DD" w:rsidRPr="00562C19" w:rsidRDefault="005921DD" w:rsidP="009C1346">
            <w:r w:rsidRPr="00562C19">
              <w:rPr>
                <w:rFonts w:ascii="Times New Roman" w:hAnsi="Times New Roman" w:cs="Times New Roman"/>
              </w:rPr>
              <w:t>Geçici Madde Özel Statü veya Yüksek  Öğrenime</w:t>
            </w:r>
          </w:p>
        </w:tc>
        <w:tc>
          <w:tcPr>
            <w:tcW w:w="708" w:type="dxa"/>
          </w:tcPr>
          <w:p w:rsidR="005921DD" w:rsidRPr="00562C19" w:rsidRDefault="005921DD" w:rsidP="009A142D">
            <w:pPr>
              <w:jc w:val="both"/>
            </w:pPr>
            <w:r w:rsidRPr="00562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5" w:type="dxa"/>
            <w:gridSpan w:val="2"/>
          </w:tcPr>
          <w:p w:rsidR="005921DD" w:rsidRPr="00562C19" w:rsidRDefault="005921DD" w:rsidP="000C2F60">
            <w:pPr>
              <w:spacing w:before="100" w:beforeAutospacing="1" w:after="100" w:afterAutospacing="1"/>
              <w:jc w:val="center"/>
            </w:pPr>
            <w:r w:rsidRPr="00562C1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127" w:type="dxa"/>
          </w:tcPr>
          <w:p w:rsidR="005921DD" w:rsidRPr="00562C19" w:rsidRDefault="005921DD" w:rsidP="002B799B">
            <w:pPr>
              <w:jc w:val="both"/>
              <w:rPr>
                <w:lang w:val="en-US"/>
              </w:rPr>
            </w:pPr>
            <w:r w:rsidRPr="00562C19">
              <w:rPr>
                <w:rFonts w:ascii="Times New Roman" w:hAnsi="Times New Roman" w:cs="Times New Roman"/>
                <w:lang w:val="en-US"/>
              </w:rPr>
              <w:t>Esas Yasanın 15’inci maddesi kapsamında olanlardan, çalıştıkları veya lisans üstü öğretimde geçirdikleri süre zarfında her yıl Asal Şubeye başvurup gerekli tecil işlemlerini zamanında yaptırmayanlar;</w:t>
            </w:r>
            <w:r>
              <w:rPr>
                <w:rFonts w:ascii="Times New Roman" w:hAnsi="Times New Roman" w:cs="Times New Roman"/>
                <w:lang w:val="en-US"/>
              </w:rPr>
              <w:t xml:space="preserve"> ve/</w:t>
            </w:r>
            <w:r w:rsidRPr="00562C19">
              <w:rPr>
                <w:rFonts w:ascii="Times New Roman" w:hAnsi="Times New Roman" w:cs="Times New Roman"/>
                <w:lang w:val="en-US"/>
              </w:rPr>
              <w:t>veya</w:t>
            </w:r>
          </w:p>
        </w:tc>
      </w:tr>
      <w:tr w:rsidR="009A142D" w:rsidRPr="00562C19" w:rsidTr="00BC4E99">
        <w:tc>
          <w:tcPr>
            <w:tcW w:w="1668" w:type="dxa"/>
          </w:tcPr>
          <w:p w:rsidR="009A142D" w:rsidRPr="00562C19" w:rsidRDefault="009A142D" w:rsidP="009A142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Bağlı Bedelli</w:t>
            </w:r>
          </w:p>
          <w:p w:rsidR="009A142D" w:rsidRPr="00562C19" w:rsidRDefault="009A142D" w:rsidP="009A142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Askerlikten</w:t>
            </w:r>
          </w:p>
          <w:p w:rsidR="00D34F9C" w:rsidRPr="00562C19" w:rsidRDefault="00D34F9C" w:rsidP="009A142D">
            <w:pPr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Yararlandırma</w:t>
            </w:r>
          </w:p>
        </w:tc>
        <w:tc>
          <w:tcPr>
            <w:tcW w:w="708" w:type="dxa"/>
          </w:tcPr>
          <w:p w:rsidR="009A142D" w:rsidRPr="00562C19" w:rsidRDefault="009A142D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9A142D" w:rsidRPr="00562C19" w:rsidRDefault="009A142D" w:rsidP="000C2F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27" w:type="dxa"/>
          </w:tcPr>
          <w:p w:rsidR="009A142D" w:rsidRPr="00562C19" w:rsidRDefault="009A142D" w:rsidP="008531F2">
            <w:pPr>
              <w:jc w:val="both"/>
              <w:rPr>
                <w:rFonts w:ascii="Times New Roman" w:hAnsi="Times New Roman" w:cs="Times New Roman"/>
              </w:rPr>
            </w:pPr>
            <w:r w:rsidRPr="00562C19">
              <w:rPr>
                <w:rFonts w:ascii="Times New Roman" w:hAnsi="Times New Roman" w:cs="Times New Roman"/>
                <w:lang w:val="en-US"/>
              </w:rPr>
              <w:t>Esas Yasanın 37’nci maddesinde öngörülen her yıl Kuzey Kıbrıs Türk Cumhuriyetinde</w:t>
            </w:r>
            <w:r w:rsidR="00BE019E">
              <w:rPr>
                <w:rFonts w:ascii="Times New Roman" w:hAnsi="Times New Roman" w:cs="Times New Roman"/>
                <w:lang w:val="en-US"/>
              </w:rPr>
              <w:t xml:space="preserve">, 12 Aralık 2014 tarihinden önce </w:t>
            </w:r>
            <w:r w:rsidRPr="00562C19">
              <w:rPr>
                <w:rFonts w:ascii="Times New Roman" w:hAnsi="Times New Roman" w:cs="Times New Roman"/>
                <w:lang w:val="en-US"/>
              </w:rPr>
              <w:t xml:space="preserve"> en fazla </w:t>
            </w:r>
            <w:r w:rsidR="00E0677E" w:rsidRPr="00562C19">
              <w:rPr>
                <w:rFonts w:ascii="Times New Roman" w:hAnsi="Times New Roman" w:cs="Times New Roman"/>
                <w:lang w:val="en-US"/>
              </w:rPr>
              <w:t xml:space="preserve">doksan </w:t>
            </w:r>
            <w:r w:rsidRPr="00562C19">
              <w:rPr>
                <w:rFonts w:ascii="Times New Roman" w:hAnsi="Times New Roman" w:cs="Times New Roman"/>
                <w:lang w:val="en-US"/>
              </w:rPr>
              <w:t xml:space="preserve">gün </w:t>
            </w:r>
            <w:r w:rsidR="00BE019E">
              <w:rPr>
                <w:rFonts w:ascii="Times New Roman" w:hAnsi="Times New Roman" w:cs="Times New Roman"/>
                <w:lang w:val="en-US"/>
              </w:rPr>
              <w:t xml:space="preserve">ve 12 Aralık 2014 tarihinden sonra en fazla </w:t>
            </w:r>
            <w:r w:rsidR="007E1DF5">
              <w:rPr>
                <w:rFonts w:ascii="Times New Roman" w:hAnsi="Times New Roman" w:cs="Times New Roman"/>
                <w:lang w:val="en-US"/>
              </w:rPr>
              <w:t xml:space="preserve">yüz yirmi gün kalma süresini aşanlar; </w:t>
            </w:r>
            <w:r w:rsidRPr="00562C19">
              <w:rPr>
                <w:rFonts w:ascii="Times New Roman" w:hAnsi="Times New Roman" w:cs="Times New Roman"/>
                <w:lang w:val="en-US"/>
              </w:rPr>
              <w:t>veya</w:t>
            </w:r>
          </w:p>
        </w:tc>
      </w:tr>
      <w:tr w:rsidR="00495DE1" w:rsidRPr="00562C19" w:rsidTr="00BC4E99">
        <w:tc>
          <w:tcPr>
            <w:tcW w:w="1668" w:type="dxa"/>
          </w:tcPr>
          <w:p w:rsidR="00495DE1" w:rsidRPr="00562C19" w:rsidRDefault="00495DE1" w:rsidP="009A142D"/>
        </w:tc>
        <w:tc>
          <w:tcPr>
            <w:tcW w:w="708" w:type="dxa"/>
          </w:tcPr>
          <w:p w:rsidR="00495DE1" w:rsidRPr="00262013" w:rsidRDefault="00495DE1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495DE1" w:rsidRPr="00262013" w:rsidRDefault="00495DE1" w:rsidP="000C2F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62013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6127" w:type="dxa"/>
          </w:tcPr>
          <w:p w:rsidR="00495DE1" w:rsidRPr="00262013" w:rsidRDefault="00495DE1" w:rsidP="007E1D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2013">
              <w:rPr>
                <w:rFonts w:ascii="Times New Roman" w:hAnsi="Times New Roman" w:cs="Times New Roman"/>
                <w:lang w:val="en-US"/>
              </w:rPr>
              <w:t xml:space="preserve">Gerekli süre içerisinde başvuruda bulunmadıkları veya erteleme noksanı veya çalışma koşulunu yerine getirdikten </w:t>
            </w:r>
            <w:r w:rsidR="00DB3ECA">
              <w:rPr>
                <w:rFonts w:ascii="Times New Roman" w:hAnsi="Times New Roman" w:cs="Times New Roman"/>
                <w:lang w:val="en-US"/>
              </w:rPr>
              <w:t>son</w:t>
            </w:r>
            <w:r w:rsidRPr="00262013">
              <w:rPr>
                <w:rFonts w:ascii="Times New Roman" w:hAnsi="Times New Roman" w:cs="Times New Roman"/>
                <w:lang w:val="en-US"/>
              </w:rPr>
              <w:t>r</w:t>
            </w:r>
            <w:r w:rsidR="00DB3ECA">
              <w:rPr>
                <w:rFonts w:ascii="Times New Roman" w:hAnsi="Times New Roman" w:cs="Times New Roman"/>
                <w:lang w:val="en-US"/>
              </w:rPr>
              <w:t>a</w:t>
            </w:r>
            <w:r w:rsidRPr="00262013">
              <w:rPr>
                <w:rFonts w:ascii="Times New Roman" w:hAnsi="Times New Roman" w:cs="Times New Roman"/>
                <w:lang w:val="en-US"/>
              </w:rPr>
              <w:t xml:space="preserve"> yoklama kaçağı olmaları sebebiyle bedelli askerlik başvuruları reddedilenler; veya</w:t>
            </w:r>
          </w:p>
        </w:tc>
      </w:tr>
      <w:tr w:rsidR="00495DE1" w:rsidRPr="00562C19" w:rsidTr="000A3981">
        <w:trPr>
          <w:trHeight w:val="1085"/>
        </w:trPr>
        <w:tc>
          <w:tcPr>
            <w:tcW w:w="1668" w:type="dxa"/>
          </w:tcPr>
          <w:p w:rsidR="00495DE1" w:rsidRPr="00562C19" w:rsidRDefault="00495DE1" w:rsidP="009A142D"/>
        </w:tc>
        <w:tc>
          <w:tcPr>
            <w:tcW w:w="708" w:type="dxa"/>
          </w:tcPr>
          <w:p w:rsidR="00495DE1" w:rsidRPr="00262013" w:rsidRDefault="00495DE1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495DE1" w:rsidRPr="00262013" w:rsidRDefault="00495DE1" w:rsidP="000C2F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6201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127" w:type="dxa"/>
          </w:tcPr>
          <w:p w:rsidR="00495DE1" w:rsidRPr="00262013" w:rsidRDefault="00262013" w:rsidP="007E1D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2013">
              <w:rPr>
                <w:rFonts w:ascii="Times New Roman" w:hAnsi="Times New Roman" w:cs="Times New Roman"/>
                <w:lang w:val="en-US"/>
              </w:rPr>
              <w:t>Gerekli süre içerisinde başvuruda bulunmadıkları veya başvuruda bulunup da yükümlülüklerini yerine getirmedikleri için özel statü hakkını veya yüksek</w:t>
            </w:r>
            <w:r w:rsidR="005D61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013">
              <w:rPr>
                <w:rFonts w:ascii="Times New Roman" w:hAnsi="Times New Roman" w:cs="Times New Roman"/>
                <w:lang w:val="en-US"/>
              </w:rPr>
              <w:t>öğretime bağlı bedelli hakkını kaybedenler; veya</w:t>
            </w:r>
          </w:p>
        </w:tc>
      </w:tr>
      <w:tr w:rsidR="00495DE1" w:rsidRPr="00562C19" w:rsidTr="00BC4E99">
        <w:tc>
          <w:tcPr>
            <w:tcW w:w="1668" w:type="dxa"/>
          </w:tcPr>
          <w:p w:rsidR="00495DE1" w:rsidRPr="000A3981" w:rsidRDefault="00495DE1" w:rsidP="009A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5DE1" w:rsidRPr="000A3981" w:rsidRDefault="00495DE1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495DE1" w:rsidRPr="000A3981" w:rsidRDefault="00262013" w:rsidP="000C2F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A3981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127" w:type="dxa"/>
          </w:tcPr>
          <w:p w:rsidR="00495DE1" w:rsidRPr="000A3981" w:rsidRDefault="00120B77" w:rsidP="007E1D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3981">
              <w:rPr>
                <w:rFonts w:ascii="Times New Roman" w:hAnsi="Times New Roman" w:cs="Times New Roman"/>
                <w:lang w:val="en-US"/>
              </w:rPr>
              <w:t>Esas Yasanın 62’nci maddesi uyarınca ikinci on beş günlük hizmet süresini yerine getirmediği için hakkını kaybedenler</w:t>
            </w:r>
          </w:p>
        </w:tc>
      </w:tr>
      <w:tr w:rsidR="00120B77" w:rsidRPr="00562C19" w:rsidTr="00DE78CB">
        <w:tc>
          <w:tcPr>
            <w:tcW w:w="1668" w:type="dxa"/>
          </w:tcPr>
          <w:p w:rsidR="00120B77" w:rsidRPr="000A3981" w:rsidRDefault="00120B77" w:rsidP="009A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20B77" w:rsidRPr="000A3981" w:rsidRDefault="00120B77" w:rsidP="009A1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gridSpan w:val="2"/>
          </w:tcPr>
          <w:p w:rsidR="00120B77" w:rsidRPr="000A3981" w:rsidRDefault="000A3981" w:rsidP="007E1D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3981">
              <w:rPr>
                <w:rFonts w:ascii="Times New Roman" w:hAnsi="Times New Roman" w:cs="Times New Roman"/>
                <w:lang w:val="en-US"/>
              </w:rPr>
              <w:t xml:space="preserve">bu (Değişiklik) Yasasının yürürlüğe girdiği tarihten itibaren bir yıl içerisinde müracaat ettikleri takdirde Esas Yasanın 14’üncü veya 15’inci maddelerindeki haktan yararlanırlar. </w:t>
            </w:r>
          </w:p>
        </w:tc>
      </w:tr>
      <w:tr w:rsidR="00624456" w:rsidRPr="00562C19" w:rsidTr="00ED3212">
        <w:tc>
          <w:tcPr>
            <w:tcW w:w="1668" w:type="dxa"/>
          </w:tcPr>
          <w:p w:rsidR="00624456" w:rsidRPr="000A3981" w:rsidRDefault="00624456" w:rsidP="009A142D"/>
        </w:tc>
        <w:tc>
          <w:tcPr>
            <w:tcW w:w="708" w:type="dxa"/>
          </w:tcPr>
          <w:p w:rsidR="00624456" w:rsidRPr="000A3981" w:rsidRDefault="00624456" w:rsidP="009A142D">
            <w:pPr>
              <w:jc w:val="both"/>
            </w:pPr>
          </w:p>
        </w:tc>
        <w:tc>
          <w:tcPr>
            <w:tcW w:w="6872" w:type="dxa"/>
            <w:gridSpan w:val="3"/>
          </w:tcPr>
          <w:p w:rsidR="00624456" w:rsidRPr="000A3981" w:rsidRDefault="00624456" w:rsidP="007E1DF5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DE78CB" w:rsidRPr="00562C19" w:rsidTr="00D67CEE">
        <w:tc>
          <w:tcPr>
            <w:tcW w:w="1668" w:type="dxa"/>
          </w:tcPr>
          <w:p w:rsidR="00DE78CB" w:rsidRPr="00624456" w:rsidRDefault="00DE78CB" w:rsidP="009A142D">
            <w:pPr>
              <w:rPr>
                <w:rFonts w:ascii="Times New Roman" w:hAnsi="Times New Roman" w:cs="Times New Roman"/>
              </w:rPr>
            </w:pPr>
            <w:r w:rsidRPr="00624456">
              <w:rPr>
                <w:rFonts w:ascii="Times New Roman" w:hAnsi="Times New Roman" w:cs="Times New Roman"/>
              </w:rPr>
              <w:t>Yürürlüğe Giriş</w:t>
            </w:r>
          </w:p>
        </w:tc>
        <w:tc>
          <w:tcPr>
            <w:tcW w:w="7580" w:type="dxa"/>
            <w:gridSpan w:val="4"/>
          </w:tcPr>
          <w:p w:rsidR="00DE78CB" w:rsidRPr="00DE78CB" w:rsidRDefault="00DE78CB" w:rsidP="007E1DF5">
            <w:pPr>
              <w:jc w:val="both"/>
              <w:rPr>
                <w:rFonts w:ascii="Times New Roman" w:hAnsi="Times New Roman" w:cs="Times New Roman"/>
              </w:rPr>
            </w:pPr>
            <w:r w:rsidRPr="0062445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456">
              <w:rPr>
                <w:rFonts w:ascii="Times New Roman" w:hAnsi="Times New Roman" w:cs="Times New Roman"/>
                <w:lang w:val="en-US"/>
              </w:rPr>
              <w:t>Bu Yasa, Resmi Gazete’de yayımlandığı tarihten başlayarak yürürlüğe girer.</w:t>
            </w:r>
          </w:p>
        </w:tc>
      </w:tr>
    </w:tbl>
    <w:p w:rsidR="00495DE1" w:rsidRDefault="00495DE1" w:rsidP="00495DE1"/>
    <w:p w:rsidR="00495DE1" w:rsidRDefault="00495DE1" w:rsidP="00495DE1"/>
    <w:sectPr w:rsidR="00495DE1" w:rsidSect="0003565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BA" w:rsidRDefault="00C740BA">
      <w:r>
        <w:separator/>
      </w:r>
    </w:p>
  </w:endnote>
  <w:endnote w:type="continuationSeparator" w:id="0">
    <w:p w:rsidR="00C740BA" w:rsidRDefault="00C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97469"/>
      <w:docPartObj>
        <w:docPartGallery w:val="Page Numbers (Bottom of Page)"/>
        <w:docPartUnique/>
      </w:docPartObj>
    </w:sdtPr>
    <w:sdtEndPr/>
    <w:sdtContent>
      <w:p w:rsidR="0003565E" w:rsidRDefault="000365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F6">
          <w:rPr>
            <w:noProof/>
          </w:rPr>
          <w:t>2</w:t>
        </w:r>
        <w:r>
          <w:fldChar w:fldCharType="end"/>
        </w:r>
      </w:p>
    </w:sdtContent>
  </w:sdt>
  <w:p w:rsidR="0003565E" w:rsidRDefault="00C74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BA" w:rsidRDefault="00C740BA">
      <w:r>
        <w:separator/>
      </w:r>
    </w:p>
  </w:footnote>
  <w:footnote w:type="continuationSeparator" w:id="0">
    <w:p w:rsidR="00C740BA" w:rsidRDefault="00C7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42"/>
    <w:rsid w:val="00031AEB"/>
    <w:rsid w:val="000365AF"/>
    <w:rsid w:val="000718A8"/>
    <w:rsid w:val="000A3981"/>
    <w:rsid w:val="000C2F60"/>
    <w:rsid w:val="00120B77"/>
    <w:rsid w:val="00135A37"/>
    <w:rsid w:val="00151657"/>
    <w:rsid w:val="00155A92"/>
    <w:rsid w:val="00160F18"/>
    <w:rsid w:val="001664E1"/>
    <w:rsid w:val="00175175"/>
    <w:rsid w:val="00180171"/>
    <w:rsid w:val="001833F4"/>
    <w:rsid w:val="001A0256"/>
    <w:rsid w:val="002120B2"/>
    <w:rsid w:val="00247C8E"/>
    <w:rsid w:val="00262013"/>
    <w:rsid w:val="00283159"/>
    <w:rsid w:val="002B799B"/>
    <w:rsid w:val="002F6B77"/>
    <w:rsid w:val="00340C16"/>
    <w:rsid w:val="003E72B9"/>
    <w:rsid w:val="004610D8"/>
    <w:rsid w:val="00495DE1"/>
    <w:rsid w:val="004D4A53"/>
    <w:rsid w:val="004F74D0"/>
    <w:rsid w:val="00502DE3"/>
    <w:rsid w:val="0054683B"/>
    <w:rsid w:val="00562C19"/>
    <w:rsid w:val="005921DD"/>
    <w:rsid w:val="005C5074"/>
    <w:rsid w:val="005D6125"/>
    <w:rsid w:val="005E40EE"/>
    <w:rsid w:val="00606122"/>
    <w:rsid w:val="00611283"/>
    <w:rsid w:val="00624456"/>
    <w:rsid w:val="00630290"/>
    <w:rsid w:val="006D5FBE"/>
    <w:rsid w:val="00732E86"/>
    <w:rsid w:val="0077042B"/>
    <w:rsid w:val="007846D7"/>
    <w:rsid w:val="007E1A87"/>
    <w:rsid w:val="007E1DF5"/>
    <w:rsid w:val="008531F2"/>
    <w:rsid w:val="008D090F"/>
    <w:rsid w:val="009121BF"/>
    <w:rsid w:val="00944366"/>
    <w:rsid w:val="00950B57"/>
    <w:rsid w:val="00966BE1"/>
    <w:rsid w:val="009768ED"/>
    <w:rsid w:val="009A142D"/>
    <w:rsid w:val="009C1346"/>
    <w:rsid w:val="009C1B3C"/>
    <w:rsid w:val="009C6B38"/>
    <w:rsid w:val="009F3EF6"/>
    <w:rsid w:val="00A22E18"/>
    <w:rsid w:val="00B245DF"/>
    <w:rsid w:val="00B502C2"/>
    <w:rsid w:val="00BC1BE0"/>
    <w:rsid w:val="00BC4E99"/>
    <w:rsid w:val="00BE019E"/>
    <w:rsid w:val="00BE1842"/>
    <w:rsid w:val="00BE1D7A"/>
    <w:rsid w:val="00C035B9"/>
    <w:rsid w:val="00C07D68"/>
    <w:rsid w:val="00C50DEB"/>
    <w:rsid w:val="00C740BA"/>
    <w:rsid w:val="00D3384F"/>
    <w:rsid w:val="00D34F9C"/>
    <w:rsid w:val="00D44E9C"/>
    <w:rsid w:val="00D8594B"/>
    <w:rsid w:val="00DB3ECA"/>
    <w:rsid w:val="00DE5283"/>
    <w:rsid w:val="00DE78CB"/>
    <w:rsid w:val="00E0677E"/>
    <w:rsid w:val="00E453E1"/>
    <w:rsid w:val="00F853A6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5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65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5A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3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5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65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5A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3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D892-1EE9-432D-B581-B03B26A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sinem2.demirgil</dc:creator>
  <cp:lastModifiedBy>ali guder</cp:lastModifiedBy>
  <cp:revision>7</cp:revision>
  <cp:lastPrinted>2017-11-13T13:42:00Z</cp:lastPrinted>
  <dcterms:created xsi:type="dcterms:W3CDTF">2017-12-05T13:33:00Z</dcterms:created>
  <dcterms:modified xsi:type="dcterms:W3CDTF">2018-01-04T06:53:00Z</dcterms:modified>
</cp:coreProperties>
</file>