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65" w:rsidRPr="00055B65" w:rsidRDefault="00055B65" w:rsidP="00055B65">
      <w:pPr>
        <w:jc w:val="both"/>
        <w:rPr>
          <w:rFonts w:ascii="Times New Roman" w:eastAsia="Times New Roman" w:hAnsi="Times New Roman" w:cs="Times New Roman"/>
          <w:sz w:val="26"/>
          <w:szCs w:val="26"/>
        </w:rPr>
      </w:pPr>
      <w:r w:rsidRPr="00055B65">
        <w:rPr>
          <w:rFonts w:ascii="Times New Roman" w:eastAsia="Times New Roman" w:hAnsi="Times New Roman" w:cs="Times New Roman"/>
          <w:sz w:val="26"/>
          <w:szCs w:val="26"/>
        </w:rPr>
        <w:t>Kuzey Kıbrıs Türk Cumh</w:t>
      </w:r>
      <w:r>
        <w:rPr>
          <w:rFonts w:ascii="Times New Roman" w:eastAsia="Times New Roman" w:hAnsi="Times New Roman" w:cs="Times New Roman"/>
          <w:sz w:val="26"/>
          <w:szCs w:val="26"/>
        </w:rPr>
        <w:t>uriyeti Cumhuriyet Meclisi’nin 23 Ekim 2023 tarihli Altıncı</w:t>
      </w:r>
      <w:r w:rsidRPr="00055B65">
        <w:rPr>
          <w:rFonts w:ascii="Times New Roman" w:eastAsia="Times New Roman" w:hAnsi="Times New Roman" w:cs="Times New Roman"/>
          <w:sz w:val="26"/>
          <w:szCs w:val="26"/>
        </w:rPr>
        <w:t xml:space="preserve"> Birleşiminde </w:t>
      </w:r>
      <w:r>
        <w:rPr>
          <w:rFonts w:ascii="Times New Roman" w:eastAsia="Times New Roman" w:hAnsi="Times New Roman" w:cs="Times New Roman"/>
          <w:sz w:val="26"/>
          <w:szCs w:val="26"/>
        </w:rPr>
        <w:t>Oybirliğiyle kabul olunan “</w:t>
      </w:r>
      <w:r w:rsidRPr="00055B65">
        <w:rPr>
          <w:rFonts w:ascii="Times New Roman" w:eastAsia="Times New Roman" w:hAnsi="Times New Roman" w:cs="Times New Roman"/>
          <w:sz w:val="26"/>
          <w:szCs w:val="26"/>
        </w:rPr>
        <w:t>Tasarruf Mevduatı Sigortası ve Finansal İstikrar Fonu  (Değişiklik) Yasası</w:t>
      </w:r>
      <w:r w:rsidRPr="00055B65">
        <w:rPr>
          <w:rFonts w:ascii="Times New Roman" w:eastAsia="Times New Roman" w:hAnsi="Times New Roman" w:cs="Times New Roman"/>
          <w:sz w:val="26"/>
          <w:szCs w:val="26"/>
        </w:rPr>
        <w:t>” Anayasanın 94'üncü maddesinin (1)'inci fıkrası gereğince Kuzey Kıbrıs Türk Cumhuriyeti Cumhurbaşkanı tarafından Resmi Gazete'de yayımlanmak suretiyle ilan olunur.</w:t>
      </w:r>
    </w:p>
    <w:p w:rsidR="00055B65" w:rsidRDefault="00055B65" w:rsidP="00055B65">
      <w:pPr>
        <w:pStyle w:val="NoSpacing"/>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Sayı: 61/2023</w:t>
      </w:r>
    </w:p>
    <w:p w:rsidR="00055B65" w:rsidRDefault="00055B65" w:rsidP="00055B65">
      <w:pPr>
        <w:pStyle w:val="NoSpacing"/>
        <w:contextualSpacing/>
        <w:rPr>
          <w:rFonts w:ascii="Times New Roman" w:eastAsia="Calibri" w:hAnsi="Times New Roman" w:cs="Times New Roman"/>
          <w:sz w:val="24"/>
          <w:szCs w:val="24"/>
        </w:rPr>
      </w:pPr>
    </w:p>
    <w:p w:rsidR="00055B65" w:rsidRDefault="00055B65" w:rsidP="00055B65">
      <w:pPr>
        <w:pStyle w:val="NoSpacing"/>
        <w:contextualSpacing/>
        <w:rPr>
          <w:rFonts w:ascii="Times New Roman" w:eastAsia="Calibri" w:hAnsi="Times New Roman" w:cs="Times New Roman"/>
          <w:sz w:val="24"/>
          <w:szCs w:val="24"/>
        </w:rPr>
      </w:pPr>
      <w:bookmarkStart w:id="0" w:name="_GoBack"/>
      <w:bookmarkEnd w:id="0"/>
    </w:p>
    <w:p w:rsidR="009A19FB" w:rsidRPr="00D92EF4" w:rsidRDefault="009A19FB" w:rsidP="00D92EF4">
      <w:pPr>
        <w:pStyle w:val="NoSpacing"/>
        <w:contextualSpacing/>
        <w:jc w:val="center"/>
        <w:rPr>
          <w:rFonts w:ascii="Times New Roman" w:eastAsia="Calibri" w:hAnsi="Times New Roman" w:cs="Times New Roman"/>
          <w:sz w:val="24"/>
          <w:szCs w:val="24"/>
        </w:rPr>
      </w:pPr>
      <w:r w:rsidRPr="00D92EF4">
        <w:rPr>
          <w:rFonts w:ascii="Times New Roman" w:eastAsia="Calibri" w:hAnsi="Times New Roman" w:cs="Times New Roman"/>
          <w:sz w:val="24"/>
          <w:szCs w:val="24"/>
        </w:rPr>
        <w:t>TASARRUF MEVDUATI SİGORTASI VE FİNANSAL İSTİKRAR</w:t>
      </w:r>
    </w:p>
    <w:p w:rsidR="003E51B1" w:rsidRPr="00D92EF4" w:rsidRDefault="009A19FB" w:rsidP="00D92EF4">
      <w:pPr>
        <w:spacing w:after="0" w:line="240" w:lineRule="auto"/>
        <w:contextualSpacing/>
        <w:jc w:val="center"/>
        <w:rPr>
          <w:rFonts w:ascii="Times New Roman" w:hAnsi="Times New Roman" w:cs="Times New Roman"/>
          <w:sz w:val="24"/>
          <w:szCs w:val="24"/>
        </w:rPr>
      </w:pPr>
      <w:r w:rsidRPr="00D92EF4">
        <w:rPr>
          <w:rFonts w:ascii="Times New Roman" w:eastAsia="Calibri" w:hAnsi="Times New Roman" w:cs="Times New Roman"/>
          <w:sz w:val="24"/>
          <w:szCs w:val="24"/>
        </w:rPr>
        <w:t>FONU</w:t>
      </w:r>
      <w:r w:rsidR="00055B65">
        <w:rPr>
          <w:rFonts w:ascii="Times New Roman" w:hAnsi="Times New Roman" w:cs="Times New Roman"/>
          <w:sz w:val="24"/>
          <w:szCs w:val="24"/>
        </w:rPr>
        <w:t xml:space="preserve"> (DEĞİŞİKLİK) YASA</w:t>
      </w:r>
      <w:r w:rsidRPr="00D92EF4">
        <w:rPr>
          <w:rFonts w:ascii="Times New Roman" w:hAnsi="Times New Roman" w:cs="Times New Roman"/>
          <w:sz w:val="24"/>
          <w:szCs w:val="24"/>
        </w:rPr>
        <w:t>SI</w:t>
      </w:r>
    </w:p>
    <w:p w:rsidR="003A79DC" w:rsidRDefault="003A79DC" w:rsidP="00D92EF4">
      <w:pPr>
        <w:spacing w:after="0" w:line="240" w:lineRule="auto"/>
        <w:contextualSpacing/>
        <w:jc w:val="center"/>
        <w:rPr>
          <w:rFonts w:ascii="Times New Roman" w:hAnsi="Times New Roman" w:cs="Times New Roman"/>
          <w:b/>
          <w:sz w:val="24"/>
          <w:szCs w:val="24"/>
        </w:rPr>
      </w:pPr>
    </w:p>
    <w:p w:rsidR="00D92EF4" w:rsidRPr="00D92EF4" w:rsidRDefault="00D92EF4" w:rsidP="00D92EF4">
      <w:pPr>
        <w:spacing w:after="0" w:line="240" w:lineRule="auto"/>
        <w:contextualSpacing/>
        <w:jc w:val="center"/>
        <w:rPr>
          <w:rFonts w:ascii="Times New Roman" w:hAnsi="Times New Roman" w:cs="Times New Roman"/>
          <w:b/>
          <w:sz w:val="24"/>
          <w:szCs w:val="24"/>
        </w:rPr>
      </w:pPr>
    </w:p>
    <w:tbl>
      <w:tblPr>
        <w:tblW w:w="9072" w:type="dxa"/>
        <w:tblLayout w:type="fixed"/>
        <w:tblLook w:val="01E0" w:firstRow="1" w:lastRow="1" w:firstColumn="1" w:lastColumn="1" w:noHBand="0" w:noVBand="0"/>
      </w:tblPr>
      <w:tblGrid>
        <w:gridCol w:w="1668"/>
        <w:gridCol w:w="425"/>
        <w:gridCol w:w="567"/>
        <w:gridCol w:w="737"/>
        <w:gridCol w:w="680"/>
        <w:gridCol w:w="4995"/>
      </w:tblGrid>
      <w:tr w:rsidR="00D92EF4" w:rsidRPr="00D92EF4" w:rsidTr="00D92EF4">
        <w:trPr>
          <w:trHeight w:val="451"/>
        </w:trPr>
        <w:tc>
          <w:tcPr>
            <w:tcW w:w="1668" w:type="dxa"/>
          </w:tcPr>
          <w:p w:rsidR="00D92EF4" w:rsidRPr="00D92EF4" w:rsidRDefault="00D92EF4" w:rsidP="00D92EF4">
            <w:pPr>
              <w:pStyle w:val="BodyText2"/>
              <w:spacing w:after="0" w:line="240" w:lineRule="auto"/>
              <w:contextualSpacing/>
              <w:jc w:val="center"/>
            </w:pPr>
            <w:r w:rsidRPr="00D92EF4">
              <w:t xml:space="preserve">            </w:t>
            </w:r>
          </w:p>
        </w:tc>
        <w:tc>
          <w:tcPr>
            <w:tcW w:w="7404" w:type="dxa"/>
            <w:gridSpan w:val="5"/>
          </w:tcPr>
          <w:p w:rsidR="00D92EF4" w:rsidRPr="00D92EF4" w:rsidRDefault="00D92EF4" w:rsidP="00D92EF4">
            <w:pPr>
              <w:pStyle w:val="BodyText2"/>
              <w:spacing w:after="0" w:line="240" w:lineRule="auto"/>
              <w:contextualSpacing/>
              <w:jc w:val="both"/>
            </w:pPr>
            <w:r w:rsidRPr="00D92EF4">
              <w:t xml:space="preserve">             Kuzey Kıbrıs Türk Cumhuriyeti Cumhuriyet Meclisi aşağıdaki Yasayı yapar:</w:t>
            </w:r>
          </w:p>
        </w:tc>
      </w:tr>
      <w:tr w:rsidR="00D92EF4" w:rsidRPr="00D92EF4" w:rsidTr="00403F64">
        <w:trPr>
          <w:trHeight w:val="321"/>
        </w:trPr>
        <w:tc>
          <w:tcPr>
            <w:tcW w:w="9072" w:type="dxa"/>
            <w:gridSpan w:val="6"/>
          </w:tcPr>
          <w:p w:rsidR="00D92EF4" w:rsidRPr="00D92EF4" w:rsidRDefault="00D92EF4" w:rsidP="00D92EF4">
            <w:pPr>
              <w:pStyle w:val="BodyText2"/>
              <w:spacing w:after="0" w:line="240" w:lineRule="auto"/>
              <w:contextualSpacing/>
              <w:jc w:val="both"/>
            </w:pPr>
          </w:p>
        </w:tc>
      </w:tr>
      <w:tr w:rsidR="00D92EF4" w:rsidRPr="00D92EF4" w:rsidTr="00D92EF4">
        <w:trPr>
          <w:trHeight w:val="1147"/>
        </w:trPr>
        <w:tc>
          <w:tcPr>
            <w:tcW w:w="1668" w:type="dxa"/>
          </w:tcPr>
          <w:p w:rsidR="00D92EF4" w:rsidRPr="00D92EF4" w:rsidRDefault="00D92EF4" w:rsidP="00D92EF4">
            <w:pPr>
              <w:spacing w:after="0" w:line="240" w:lineRule="auto"/>
              <w:contextualSpacing/>
              <w:rPr>
                <w:rFonts w:ascii="Times New Roman" w:hAnsi="Times New Roman" w:cs="Times New Roman"/>
                <w:sz w:val="24"/>
                <w:szCs w:val="24"/>
              </w:rPr>
            </w:pPr>
            <w:r w:rsidRPr="00D92EF4">
              <w:rPr>
                <w:rFonts w:ascii="Times New Roman" w:hAnsi="Times New Roman" w:cs="Times New Roman"/>
                <w:sz w:val="24"/>
                <w:szCs w:val="24"/>
              </w:rPr>
              <w:t>Kısa İsim</w:t>
            </w:r>
          </w:p>
          <w:p w:rsidR="00D92EF4" w:rsidRPr="00D92EF4" w:rsidRDefault="00D92EF4" w:rsidP="00D92EF4">
            <w:pPr>
              <w:spacing w:after="0" w:line="240" w:lineRule="auto"/>
              <w:contextualSpacing/>
              <w:rPr>
                <w:rFonts w:ascii="Times New Roman" w:hAnsi="Times New Roman" w:cs="Times New Roman"/>
                <w:sz w:val="24"/>
                <w:szCs w:val="24"/>
              </w:rPr>
            </w:pPr>
            <w:r w:rsidRPr="00D92EF4">
              <w:rPr>
                <w:rFonts w:ascii="Times New Roman" w:hAnsi="Times New Roman" w:cs="Times New Roman"/>
                <w:sz w:val="24"/>
                <w:szCs w:val="24"/>
              </w:rPr>
              <w:t>32/2009</w:t>
            </w:r>
          </w:p>
        </w:tc>
        <w:tc>
          <w:tcPr>
            <w:tcW w:w="7404" w:type="dxa"/>
            <w:gridSpan w:val="5"/>
          </w:tcPr>
          <w:p w:rsidR="00D92EF4" w:rsidRPr="00D92EF4" w:rsidRDefault="00D92EF4" w:rsidP="00D92EF4">
            <w:pPr>
              <w:spacing w:after="0" w:line="240" w:lineRule="auto"/>
              <w:jc w:val="both"/>
              <w:rPr>
                <w:rFonts w:ascii="Times New Roman" w:hAnsi="Times New Roman" w:cs="Times New Roman"/>
                <w:sz w:val="24"/>
                <w:szCs w:val="24"/>
              </w:rPr>
            </w:pPr>
            <w:r w:rsidRPr="00D92EF4">
              <w:rPr>
                <w:rFonts w:ascii="Times New Roman" w:hAnsi="Times New Roman" w:cs="Times New Roman"/>
                <w:sz w:val="24"/>
                <w:szCs w:val="24"/>
              </w:rPr>
              <w:t>1.</w:t>
            </w:r>
            <w:r w:rsidRPr="00D92EF4">
              <w:rPr>
                <w:sz w:val="24"/>
                <w:szCs w:val="24"/>
              </w:rPr>
              <w:t xml:space="preserve"> </w:t>
            </w:r>
            <w:r w:rsidRPr="00D92EF4">
              <w:rPr>
                <w:rFonts w:ascii="Times New Roman" w:hAnsi="Times New Roman" w:cs="Times New Roman"/>
                <w:sz w:val="24"/>
                <w:szCs w:val="24"/>
              </w:rPr>
              <w:t xml:space="preserve">Bu Yasa, Tasarruf Mevduatı Sigortası ve Finansal İstikrar Fonu  (Değişiklik) Yasası olarak isimlendirilir ve aşağıda “Esas Yasa” olarak anılan, Tasarruf Mevduatı Sigortası ve Finansal İstikrar Fonu </w:t>
            </w:r>
            <w:r>
              <w:rPr>
                <w:rFonts w:ascii="Times New Roman" w:hAnsi="Times New Roman" w:cs="Times New Roman"/>
                <w:sz w:val="24"/>
                <w:szCs w:val="24"/>
              </w:rPr>
              <w:t>Yasası ile birlikte okunur.</w:t>
            </w:r>
          </w:p>
        </w:tc>
      </w:tr>
      <w:tr w:rsidR="00D92EF4" w:rsidRPr="00D92EF4" w:rsidTr="003D4323">
        <w:tc>
          <w:tcPr>
            <w:tcW w:w="9072" w:type="dxa"/>
            <w:gridSpan w:val="6"/>
          </w:tcPr>
          <w:p w:rsidR="00D92EF4" w:rsidRPr="00D92EF4" w:rsidRDefault="00D92EF4" w:rsidP="00D92EF4">
            <w:pPr>
              <w:pStyle w:val="NoSpacing"/>
              <w:contextualSpacing/>
              <w:rPr>
                <w:rFonts w:ascii="Times New Roman" w:hAnsi="Times New Roman" w:cs="Times New Roman"/>
                <w:sz w:val="24"/>
                <w:szCs w:val="24"/>
              </w:rPr>
            </w:pPr>
          </w:p>
        </w:tc>
      </w:tr>
      <w:tr w:rsidR="00075BD0" w:rsidRPr="00D92EF4" w:rsidTr="00EE17BE">
        <w:trPr>
          <w:trHeight w:val="828"/>
        </w:trPr>
        <w:tc>
          <w:tcPr>
            <w:tcW w:w="1668" w:type="dxa"/>
          </w:tcPr>
          <w:p w:rsidR="00075BD0" w:rsidRPr="00D92EF4" w:rsidRDefault="00075BD0" w:rsidP="00D92EF4">
            <w:pPr>
              <w:pStyle w:val="BodyText2"/>
              <w:spacing w:after="0" w:line="240" w:lineRule="auto"/>
              <w:contextualSpacing/>
              <w:jc w:val="both"/>
            </w:pPr>
            <w:r w:rsidRPr="00D92EF4">
              <w:t>Esas Yasanın 9’uncu Maddesinin Değiştirilmesi</w:t>
            </w:r>
          </w:p>
        </w:tc>
        <w:tc>
          <w:tcPr>
            <w:tcW w:w="425" w:type="dxa"/>
          </w:tcPr>
          <w:p w:rsidR="00075BD0" w:rsidRPr="00D92EF4" w:rsidRDefault="00075BD0" w:rsidP="00D92EF4">
            <w:pPr>
              <w:pStyle w:val="BodyText2"/>
              <w:spacing w:after="0" w:line="240" w:lineRule="auto"/>
              <w:contextualSpacing/>
              <w:jc w:val="both"/>
            </w:pPr>
            <w:r w:rsidRPr="00D92EF4">
              <w:t>2.</w:t>
            </w:r>
          </w:p>
        </w:tc>
        <w:tc>
          <w:tcPr>
            <w:tcW w:w="567" w:type="dxa"/>
          </w:tcPr>
          <w:p w:rsidR="00075BD0" w:rsidRPr="00D92EF4" w:rsidRDefault="00075BD0" w:rsidP="00D92EF4">
            <w:pPr>
              <w:pStyle w:val="BodyText2"/>
              <w:spacing w:after="0" w:line="240" w:lineRule="auto"/>
              <w:contextualSpacing/>
              <w:jc w:val="both"/>
            </w:pPr>
            <w:r w:rsidRPr="00D92EF4">
              <w:t>(</w:t>
            </w:r>
            <w:r w:rsidR="00EE17BE" w:rsidRPr="00D92EF4">
              <w:t>1</w:t>
            </w:r>
            <w:r w:rsidRPr="00D92EF4">
              <w:t>)</w:t>
            </w:r>
          </w:p>
        </w:tc>
        <w:tc>
          <w:tcPr>
            <w:tcW w:w="6412" w:type="dxa"/>
            <w:gridSpan w:val="3"/>
          </w:tcPr>
          <w:p w:rsidR="00075BD0" w:rsidRPr="00D92EF4" w:rsidRDefault="00075BD0" w:rsidP="00D92EF4">
            <w:pPr>
              <w:pStyle w:val="BodyText2"/>
              <w:spacing w:after="0" w:line="240" w:lineRule="auto"/>
              <w:contextualSpacing/>
              <w:jc w:val="both"/>
            </w:pPr>
            <w:r w:rsidRPr="00D92EF4">
              <w:t>Esas Yasa, 9’uncu maddesinin (3)’üncü fıkrası kaldırılmak ve yerine aşağıdaki yeni (3)’üncü fıkra konmak suretiyle değiştirilir:</w:t>
            </w:r>
          </w:p>
        </w:tc>
      </w:tr>
      <w:tr w:rsidR="00753F86" w:rsidRPr="00D92EF4" w:rsidTr="00753F86">
        <w:trPr>
          <w:trHeight w:val="388"/>
        </w:trPr>
        <w:tc>
          <w:tcPr>
            <w:tcW w:w="1668" w:type="dxa"/>
          </w:tcPr>
          <w:p w:rsidR="00753F86" w:rsidRPr="00D92EF4" w:rsidRDefault="00753F86" w:rsidP="00D92EF4">
            <w:pPr>
              <w:pStyle w:val="BodyText2"/>
              <w:spacing w:after="0" w:line="240" w:lineRule="auto"/>
              <w:contextualSpacing/>
              <w:jc w:val="both"/>
            </w:pPr>
          </w:p>
        </w:tc>
        <w:tc>
          <w:tcPr>
            <w:tcW w:w="425" w:type="dxa"/>
          </w:tcPr>
          <w:p w:rsidR="00753F86" w:rsidRPr="00D92EF4" w:rsidRDefault="00753F86" w:rsidP="00D92EF4">
            <w:pPr>
              <w:pStyle w:val="BodyText2"/>
              <w:spacing w:after="0" w:line="240" w:lineRule="auto"/>
              <w:contextualSpacing/>
              <w:jc w:val="both"/>
            </w:pPr>
          </w:p>
        </w:tc>
        <w:tc>
          <w:tcPr>
            <w:tcW w:w="567" w:type="dxa"/>
          </w:tcPr>
          <w:p w:rsidR="00753F86" w:rsidRPr="00D92EF4" w:rsidRDefault="00753F86" w:rsidP="00D92EF4">
            <w:pPr>
              <w:pStyle w:val="BodyText2"/>
              <w:spacing w:after="0" w:line="240" w:lineRule="auto"/>
              <w:contextualSpacing/>
              <w:jc w:val="both"/>
            </w:pPr>
          </w:p>
        </w:tc>
        <w:tc>
          <w:tcPr>
            <w:tcW w:w="737" w:type="dxa"/>
          </w:tcPr>
          <w:p w:rsidR="00753F86" w:rsidRPr="00D92EF4" w:rsidRDefault="00753F86" w:rsidP="00D92EF4">
            <w:pPr>
              <w:pStyle w:val="BodyText2"/>
              <w:spacing w:after="0" w:line="240" w:lineRule="auto"/>
              <w:contextualSpacing/>
              <w:jc w:val="both"/>
            </w:pPr>
            <w:r w:rsidRPr="00D92EF4">
              <w:t>“(3)</w:t>
            </w:r>
          </w:p>
        </w:tc>
        <w:tc>
          <w:tcPr>
            <w:tcW w:w="680" w:type="dxa"/>
          </w:tcPr>
          <w:p w:rsidR="00753F86" w:rsidRPr="00D92EF4" w:rsidRDefault="00753F86" w:rsidP="00D92EF4">
            <w:pPr>
              <w:pStyle w:val="BodyText2"/>
              <w:spacing w:after="0" w:line="240" w:lineRule="auto"/>
              <w:contextualSpacing/>
              <w:jc w:val="center"/>
            </w:pPr>
            <w:r w:rsidRPr="00D92EF4">
              <w:t>(A)</w:t>
            </w:r>
          </w:p>
        </w:tc>
        <w:tc>
          <w:tcPr>
            <w:tcW w:w="4995" w:type="dxa"/>
          </w:tcPr>
          <w:p w:rsidR="009B1FAF" w:rsidRPr="00D92EF4" w:rsidRDefault="00753F86" w:rsidP="00D92EF4">
            <w:pPr>
              <w:pStyle w:val="BodyText2"/>
              <w:spacing w:after="0" w:line="240" w:lineRule="auto"/>
              <w:contextualSpacing/>
              <w:jc w:val="both"/>
            </w:pPr>
            <w:r w:rsidRPr="00D92EF4">
              <w:t>Fon</w:t>
            </w:r>
            <w:r w:rsidR="00D92EF4">
              <w:t xml:space="preserve">, </w:t>
            </w:r>
            <w:r w:rsidR="009B1FAF" w:rsidRPr="00D92EF4">
              <w:t>bankacılık sektöründe belirsizlik ve güvensizlik oluşmasını önlemek ve finansal sektörde istikrarın sağlanması amacına yönelik olarak, mali bünye zaafiyeti nedeniyle Merkez Bankasınca haklarında yaptırım uygulanan bankaların kredilerini satın veya devir alabilir ve bu bankalara sermaye benzeri kredi verebilir.</w:t>
            </w:r>
          </w:p>
          <w:p w:rsidR="00753F86" w:rsidRPr="00D92EF4" w:rsidRDefault="009B1FAF" w:rsidP="00D92EF4">
            <w:pPr>
              <w:pStyle w:val="BodyText2"/>
              <w:spacing w:after="0" w:line="240" w:lineRule="auto"/>
              <w:contextualSpacing/>
              <w:jc w:val="both"/>
            </w:pPr>
            <w:r w:rsidRPr="00D92EF4">
              <w:t xml:space="preserve">    </w:t>
            </w:r>
            <w:r w:rsidR="00D92EF4">
              <w:t xml:space="preserve">   </w:t>
            </w:r>
            <w:r w:rsidR="00EA3C80">
              <w:t xml:space="preserve"> Ancak</w:t>
            </w:r>
            <w:r w:rsidRPr="00D92EF4">
              <w:t xml:space="preserve"> her bir bankadan satın veya devir alınacak kredi tutarı ile her bir bankaya verilecek sermaye benzeri kredinin azami miktarı, banka nezdindeki sigortaya tabi mevduat tutarını geçmemek üzere, bankanın yasal oran ve sınırlara olan uyumunu sağlayacak tutardan fazla olamaz.</w:t>
            </w:r>
          </w:p>
        </w:tc>
      </w:tr>
      <w:tr w:rsidR="00753F86" w:rsidRPr="00D92EF4" w:rsidTr="00753F86">
        <w:trPr>
          <w:trHeight w:val="388"/>
        </w:trPr>
        <w:tc>
          <w:tcPr>
            <w:tcW w:w="1668" w:type="dxa"/>
          </w:tcPr>
          <w:p w:rsidR="00753F86" w:rsidRPr="00D92EF4" w:rsidRDefault="00753F86" w:rsidP="00D92EF4">
            <w:pPr>
              <w:pStyle w:val="BodyText2"/>
              <w:spacing w:after="0" w:line="240" w:lineRule="auto"/>
              <w:contextualSpacing/>
              <w:jc w:val="both"/>
            </w:pPr>
          </w:p>
        </w:tc>
        <w:tc>
          <w:tcPr>
            <w:tcW w:w="425" w:type="dxa"/>
          </w:tcPr>
          <w:p w:rsidR="00753F86" w:rsidRPr="00D92EF4" w:rsidRDefault="00753F86" w:rsidP="00D92EF4">
            <w:pPr>
              <w:pStyle w:val="BodyText2"/>
              <w:spacing w:after="0" w:line="240" w:lineRule="auto"/>
              <w:contextualSpacing/>
              <w:jc w:val="both"/>
            </w:pPr>
          </w:p>
        </w:tc>
        <w:tc>
          <w:tcPr>
            <w:tcW w:w="567" w:type="dxa"/>
          </w:tcPr>
          <w:p w:rsidR="00753F86" w:rsidRPr="00D92EF4" w:rsidRDefault="00753F86" w:rsidP="00D92EF4">
            <w:pPr>
              <w:pStyle w:val="BodyText2"/>
              <w:spacing w:after="0" w:line="240" w:lineRule="auto"/>
              <w:contextualSpacing/>
              <w:jc w:val="both"/>
            </w:pPr>
          </w:p>
        </w:tc>
        <w:tc>
          <w:tcPr>
            <w:tcW w:w="737" w:type="dxa"/>
          </w:tcPr>
          <w:p w:rsidR="00753F86" w:rsidRPr="00D92EF4" w:rsidRDefault="00753F86" w:rsidP="00D92EF4">
            <w:pPr>
              <w:pStyle w:val="BodyText2"/>
              <w:spacing w:after="0" w:line="240" w:lineRule="auto"/>
              <w:contextualSpacing/>
              <w:jc w:val="both"/>
            </w:pPr>
          </w:p>
        </w:tc>
        <w:tc>
          <w:tcPr>
            <w:tcW w:w="680" w:type="dxa"/>
          </w:tcPr>
          <w:p w:rsidR="00753F86" w:rsidRPr="00D92EF4" w:rsidRDefault="00753F86" w:rsidP="00D92EF4">
            <w:pPr>
              <w:pStyle w:val="BodyText2"/>
              <w:spacing w:after="0" w:line="240" w:lineRule="auto"/>
              <w:contextualSpacing/>
              <w:jc w:val="center"/>
            </w:pPr>
            <w:r w:rsidRPr="00D92EF4">
              <w:t>(B)</w:t>
            </w:r>
          </w:p>
        </w:tc>
        <w:tc>
          <w:tcPr>
            <w:tcW w:w="4995" w:type="dxa"/>
          </w:tcPr>
          <w:p w:rsidR="00753F86" w:rsidRPr="00D92EF4" w:rsidRDefault="00753F86" w:rsidP="00D92EF4">
            <w:pPr>
              <w:pStyle w:val="BodyText2"/>
              <w:spacing w:after="0" w:line="240" w:lineRule="auto"/>
              <w:contextualSpacing/>
              <w:jc w:val="both"/>
            </w:pPr>
            <w:r w:rsidRPr="00D92EF4">
              <w:t>Bu fıkra kapsamında yapılan işlemler için bankalardan vergi, resim ve harç alınmaz.”</w:t>
            </w:r>
          </w:p>
        </w:tc>
      </w:tr>
      <w:tr w:rsidR="00D92EF4" w:rsidRPr="00D92EF4" w:rsidTr="00D92EF4">
        <w:trPr>
          <w:trHeight w:val="296"/>
        </w:trPr>
        <w:tc>
          <w:tcPr>
            <w:tcW w:w="9072" w:type="dxa"/>
            <w:gridSpan w:val="6"/>
          </w:tcPr>
          <w:p w:rsidR="00D92EF4" w:rsidRPr="00D92EF4" w:rsidRDefault="00D92EF4" w:rsidP="00D92EF4">
            <w:pPr>
              <w:pStyle w:val="BodyText2"/>
              <w:spacing w:after="0" w:line="240" w:lineRule="auto"/>
              <w:contextualSpacing/>
              <w:jc w:val="both"/>
            </w:pPr>
          </w:p>
        </w:tc>
      </w:tr>
      <w:tr w:rsidR="00753F86" w:rsidRPr="00D92EF4" w:rsidTr="00D92EF4">
        <w:trPr>
          <w:trHeight w:val="556"/>
        </w:trPr>
        <w:tc>
          <w:tcPr>
            <w:tcW w:w="1668" w:type="dxa"/>
          </w:tcPr>
          <w:p w:rsidR="00753F86" w:rsidRPr="00D92EF4" w:rsidRDefault="00753F86" w:rsidP="00D92EF4">
            <w:pPr>
              <w:pStyle w:val="BodyText2"/>
              <w:spacing w:after="0" w:line="240" w:lineRule="auto"/>
              <w:contextualSpacing/>
              <w:jc w:val="both"/>
            </w:pPr>
          </w:p>
        </w:tc>
        <w:tc>
          <w:tcPr>
            <w:tcW w:w="425" w:type="dxa"/>
          </w:tcPr>
          <w:p w:rsidR="00753F86" w:rsidRPr="00D92EF4" w:rsidRDefault="00753F86" w:rsidP="00D92EF4">
            <w:pPr>
              <w:pStyle w:val="BodyText2"/>
              <w:spacing w:after="0" w:line="240" w:lineRule="auto"/>
              <w:contextualSpacing/>
              <w:jc w:val="both"/>
            </w:pPr>
          </w:p>
        </w:tc>
        <w:tc>
          <w:tcPr>
            <w:tcW w:w="567" w:type="dxa"/>
          </w:tcPr>
          <w:p w:rsidR="00753F86" w:rsidRPr="00D92EF4" w:rsidRDefault="00753F86" w:rsidP="00D92EF4">
            <w:pPr>
              <w:pStyle w:val="BodyText2"/>
              <w:spacing w:after="0" w:line="240" w:lineRule="auto"/>
              <w:contextualSpacing/>
              <w:jc w:val="both"/>
            </w:pPr>
            <w:r w:rsidRPr="00D92EF4">
              <w:t>(2)</w:t>
            </w:r>
          </w:p>
        </w:tc>
        <w:tc>
          <w:tcPr>
            <w:tcW w:w="6412" w:type="dxa"/>
            <w:gridSpan w:val="3"/>
          </w:tcPr>
          <w:p w:rsidR="00753F86" w:rsidRDefault="00753F86" w:rsidP="00D92EF4">
            <w:pPr>
              <w:pStyle w:val="BodyText2"/>
              <w:spacing w:after="0" w:line="240" w:lineRule="auto"/>
              <w:contextualSpacing/>
              <w:jc w:val="both"/>
            </w:pPr>
            <w:r w:rsidRPr="00D92EF4">
              <w:t>Esas Yasa, 9’uncu maddesinin (6)’ncı fıkrası kaldırılmak ve yerine aşağıdaki yeni (6)’ncı fıkra konmak suretiyle değiştirilir:</w:t>
            </w:r>
          </w:p>
          <w:p w:rsidR="00D92EF4" w:rsidRPr="00D92EF4" w:rsidRDefault="00D92EF4" w:rsidP="00D92EF4">
            <w:pPr>
              <w:pStyle w:val="BodyText2"/>
              <w:spacing w:after="0" w:line="240" w:lineRule="auto"/>
              <w:contextualSpacing/>
              <w:jc w:val="both"/>
            </w:pPr>
          </w:p>
        </w:tc>
      </w:tr>
      <w:tr w:rsidR="00753F86" w:rsidRPr="00D92EF4" w:rsidTr="00EE17BE">
        <w:trPr>
          <w:trHeight w:val="696"/>
        </w:trPr>
        <w:tc>
          <w:tcPr>
            <w:tcW w:w="1668" w:type="dxa"/>
          </w:tcPr>
          <w:p w:rsidR="00753F86" w:rsidRPr="00D92EF4" w:rsidRDefault="00753F86" w:rsidP="00D92EF4">
            <w:pPr>
              <w:pStyle w:val="BodyText2"/>
              <w:spacing w:after="0" w:line="240" w:lineRule="auto"/>
              <w:contextualSpacing/>
              <w:jc w:val="both"/>
            </w:pPr>
          </w:p>
        </w:tc>
        <w:tc>
          <w:tcPr>
            <w:tcW w:w="425" w:type="dxa"/>
          </w:tcPr>
          <w:p w:rsidR="00753F86" w:rsidRPr="00D92EF4" w:rsidRDefault="00753F86" w:rsidP="00D92EF4">
            <w:pPr>
              <w:pStyle w:val="BodyText2"/>
              <w:spacing w:after="0" w:line="240" w:lineRule="auto"/>
              <w:contextualSpacing/>
              <w:jc w:val="both"/>
            </w:pPr>
          </w:p>
        </w:tc>
        <w:tc>
          <w:tcPr>
            <w:tcW w:w="567" w:type="dxa"/>
          </w:tcPr>
          <w:p w:rsidR="00753F86" w:rsidRPr="00D92EF4" w:rsidRDefault="00753F86" w:rsidP="00D92EF4">
            <w:pPr>
              <w:pStyle w:val="BodyText2"/>
              <w:spacing w:after="0" w:line="240" w:lineRule="auto"/>
              <w:contextualSpacing/>
              <w:jc w:val="both"/>
            </w:pPr>
          </w:p>
        </w:tc>
        <w:tc>
          <w:tcPr>
            <w:tcW w:w="737" w:type="dxa"/>
          </w:tcPr>
          <w:p w:rsidR="00753F86" w:rsidRPr="00D92EF4" w:rsidRDefault="00753F86" w:rsidP="00D92EF4">
            <w:pPr>
              <w:pStyle w:val="BodyText2"/>
              <w:spacing w:after="0" w:line="240" w:lineRule="auto"/>
              <w:contextualSpacing/>
              <w:jc w:val="both"/>
            </w:pPr>
            <w:r w:rsidRPr="00D92EF4">
              <w:t>“(6)</w:t>
            </w:r>
          </w:p>
        </w:tc>
        <w:tc>
          <w:tcPr>
            <w:tcW w:w="5675" w:type="dxa"/>
            <w:gridSpan w:val="2"/>
          </w:tcPr>
          <w:p w:rsidR="00753F86" w:rsidRPr="00D92EF4" w:rsidRDefault="00753F86" w:rsidP="00D92EF4">
            <w:pPr>
              <w:pStyle w:val="BodyText2"/>
              <w:spacing w:after="0" w:line="240" w:lineRule="auto"/>
              <w:contextualSpacing/>
              <w:jc w:val="both"/>
            </w:pPr>
            <w:r w:rsidRPr="00D92EF4">
              <w:t>Bu madde çerçevesinde kullandırılacak sermaye benzeri kredilerin</w:t>
            </w:r>
            <w:r w:rsidR="00547D7E" w:rsidRPr="00D92EF4">
              <w:t xml:space="preserve"> mahiyet ve kullandırma şartlarına ilişkin süre, teminat, sözleşme şartları, geri ödemeye ilişkin yükümlülükler ile varsa istisnalar dahil tüm hususlara ilişkin </w:t>
            </w:r>
            <w:r w:rsidRPr="00D92EF4">
              <w:t xml:space="preserve"> usul ve esaslar</w:t>
            </w:r>
            <w:r w:rsidR="00547D7E" w:rsidRPr="00D92EF4">
              <w:t>,</w:t>
            </w:r>
            <w:r w:rsidRPr="00D92EF4">
              <w:t xml:space="preserve"> Fon tarafından çıkartı</w:t>
            </w:r>
            <w:r w:rsidR="00EA3C80">
              <w:t>lacak t</w:t>
            </w:r>
            <w:r w:rsidRPr="00D92EF4">
              <w:t>ebliğ ile düzenlenir.”</w:t>
            </w:r>
          </w:p>
          <w:p w:rsidR="00547D7E" w:rsidRPr="00D92EF4" w:rsidRDefault="00547D7E" w:rsidP="00D92EF4">
            <w:pPr>
              <w:pStyle w:val="BodyText2"/>
              <w:spacing w:after="0" w:line="240" w:lineRule="auto"/>
              <w:contextualSpacing/>
              <w:jc w:val="both"/>
            </w:pPr>
          </w:p>
        </w:tc>
      </w:tr>
      <w:tr w:rsidR="00753F86" w:rsidRPr="00D92EF4" w:rsidTr="00EE17BE">
        <w:trPr>
          <w:trHeight w:val="155"/>
        </w:trPr>
        <w:tc>
          <w:tcPr>
            <w:tcW w:w="1668" w:type="dxa"/>
          </w:tcPr>
          <w:p w:rsidR="00753F86" w:rsidRPr="00D92EF4" w:rsidRDefault="00753F86" w:rsidP="00D92EF4">
            <w:pPr>
              <w:pStyle w:val="BodyText2"/>
              <w:spacing w:after="0" w:line="240" w:lineRule="auto"/>
              <w:contextualSpacing/>
              <w:jc w:val="both"/>
            </w:pPr>
          </w:p>
        </w:tc>
        <w:tc>
          <w:tcPr>
            <w:tcW w:w="425" w:type="dxa"/>
          </w:tcPr>
          <w:p w:rsidR="00753F86" w:rsidRPr="00D92EF4" w:rsidRDefault="00753F86" w:rsidP="00D92EF4">
            <w:pPr>
              <w:pStyle w:val="BodyText2"/>
              <w:spacing w:after="0" w:line="240" w:lineRule="auto"/>
              <w:contextualSpacing/>
              <w:jc w:val="both"/>
            </w:pPr>
          </w:p>
        </w:tc>
        <w:tc>
          <w:tcPr>
            <w:tcW w:w="567" w:type="dxa"/>
          </w:tcPr>
          <w:p w:rsidR="00753F86" w:rsidRPr="00D92EF4" w:rsidRDefault="00753F86" w:rsidP="00D92EF4">
            <w:pPr>
              <w:pStyle w:val="BodyText2"/>
              <w:spacing w:after="0" w:line="240" w:lineRule="auto"/>
              <w:contextualSpacing/>
              <w:jc w:val="both"/>
            </w:pPr>
            <w:r w:rsidRPr="00D92EF4">
              <w:t>(3)</w:t>
            </w:r>
          </w:p>
        </w:tc>
        <w:tc>
          <w:tcPr>
            <w:tcW w:w="6412" w:type="dxa"/>
            <w:gridSpan w:val="3"/>
          </w:tcPr>
          <w:p w:rsidR="00753F86" w:rsidRPr="00D92EF4" w:rsidRDefault="00753F86" w:rsidP="00D92EF4">
            <w:pPr>
              <w:pStyle w:val="BodyText2"/>
              <w:spacing w:after="0" w:line="240" w:lineRule="auto"/>
              <w:contextualSpacing/>
              <w:jc w:val="both"/>
            </w:pPr>
            <w:r w:rsidRPr="00D92EF4">
              <w:t>Esas Yasa, 9’uncu maddesinin (7)’nci fıkrası kaldırılmak suretiyle değiştirilir.</w:t>
            </w:r>
          </w:p>
        </w:tc>
      </w:tr>
      <w:tr w:rsidR="00753F86" w:rsidRPr="00D92EF4" w:rsidTr="004B2E20">
        <w:tc>
          <w:tcPr>
            <w:tcW w:w="9072" w:type="dxa"/>
            <w:gridSpan w:val="6"/>
          </w:tcPr>
          <w:p w:rsidR="00753F86" w:rsidRPr="00D92EF4" w:rsidRDefault="00753F86" w:rsidP="00D92EF4">
            <w:pPr>
              <w:pStyle w:val="BodyText2"/>
              <w:spacing w:after="0" w:line="240" w:lineRule="auto"/>
              <w:contextualSpacing/>
              <w:jc w:val="both"/>
            </w:pPr>
          </w:p>
        </w:tc>
      </w:tr>
      <w:tr w:rsidR="00D92EF4" w:rsidRPr="00D92EF4" w:rsidTr="00D92EF4">
        <w:trPr>
          <w:trHeight w:val="664"/>
        </w:trPr>
        <w:tc>
          <w:tcPr>
            <w:tcW w:w="1668" w:type="dxa"/>
          </w:tcPr>
          <w:p w:rsidR="00D92EF4" w:rsidRPr="00D92EF4" w:rsidRDefault="00D92EF4" w:rsidP="00D92EF4">
            <w:pPr>
              <w:pStyle w:val="BodyText2"/>
              <w:spacing w:after="0" w:line="240" w:lineRule="auto"/>
              <w:contextualSpacing/>
              <w:jc w:val="both"/>
            </w:pPr>
            <w:r w:rsidRPr="00D92EF4">
              <w:t>Yürürlüğe Giriş</w:t>
            </w:r>
          </w:p>
        </w:tc>
        <w:tc>
          <w:tcPr>
            <w:tcW w:w="7404" w:type="dxa"/>
            <w:gridSpan w:val="5"/>
          </w:tcPr>
          <w:p w:rsidR="00D92EF4" w:rsidRPr="00D92EF4" w:rsidRDefault="00D92EF4" w:rsidP="00D92EF4">
            <w:pPr>
              <w:pStyle w:val="BodyText2"/>
              <w:spacing w:after="0" w:line="240" w:lineRule="auto"/>
              <w:contextualSpacing/>
              <w:jc w:val="both"/>
            </w:pPr>
            <w:r w:rsidRPr="00D92EF4">
              <w:t>3.</w:t>
            </w:r>
            <w:r>
              <w:t xml:space="preserve"> </w:t>
            </w:r>
            <w:r w:rsidRPr="00D92EF4">
              <w:t>Bu Yasa, Resmi Gazete</w:t>
            </w:r>
            <w:r w:rsidR="00EA3C80">
              <w:t>’</w:t>
            </w:r>
            <w:r w:rsidRPr="00D92EF4">
              <w:t>de yayımlandığı tarihten başlayarak yürürlüğe girer.</w:t>
            </w:r>
          </w:p>
        </w:tc>
      </w:tr>
    </w:tbl>
    <w:p w:rsidR="00B22453" w:rsidRPr="00D92EF4" w:rsidRDefault="00B22453" w:rsidP="00D92EF4">
      <w:pPr>
        <w:spacing w:after="0" w:line="240" w:lineRule="auto"/>
        <w:contextualSpacing/>
        <w:rPr>
          <w:rFonts w:ascii="Times New Roman" w:hAnsi="Times New Roman" w:cs="Times New Roman"/>
          <w:b/>
          <w:sz w:val="24"/>
          <w:szCs w:val="24"/>
        </w:rPr>
      </w:pPr>
    </w:p>
    <w:sectPr w:rsidR="00B22453" w:rsidRPr="00D92EF4" w:rsidSect="000E400D">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87CD5"/>
    <w:multiLevelType w:val="hybridMultilevel"/>
    <w:tmpl w:val="2918E0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02"/>
    <w:rsid w:val="00010D04"/>
    <w:rsid w:val="00014C80"/>
    <w:rsid w:val="000164E2"/>
    <w:rsid w:val="00030007"/>
    <w:rsid w:val="000326E3"/>
    <w:rsid w:val="00055B65"/>
    <w:rsid w:val="00061563"/>
    <w:rsid w:val="00063612"/>
    <w:rsid w:val="00075BD0"/>
    <w:rsid w:val="0008766B"/>
    <w:rsid w:val="000A0851"/>
    <w:rsid w:val="000A3E52"/>
    <w:rsid w:val="000D0535"/>
    <w:rsid w:val="000D3FB1"/>
    <w:rsid w:val="000E052A"/>
    <w:rsid w:val="000E400D"/>
    <w:rsid w:val="000F7B16"/>
    <w:rsid w:val="000F7D52"/>
    <w:rsid w:val="00104F36"/>
    <w:rsid w:val="0011350E"/>
    <w:rsid w:val="00113DA8"/>
    <w:rsid w:val="00116F9B"/>
    <w:rsid w:val="00140CA5"/>
    <w:rsid w:val="0016536F"/>
    <w:rsid w:val="001824DF"/>
    <w:rsid w:val="00192994"/>
    <w:rsid w:val="00193724"/>
    <w:rsid w:val="00194602"/>
    <w:rsid w:val="001A2B28"/>
    <w:rsid w:val="001A496C"/>
    <w:rsid w:val="001A55EC"/>
    <w:rsid w:val="001C6F39"/>
    <w:rsid w:val="001E2382"/>
    <w:rsid w:val="001F35D5"/>
    <w:rsid w:val="00221DBF"/>
    <w:rsid w:val="00234A59"/>
    <w:rsid w:val="00240009"/>
    <w:rsid w:val="002410A9"/>
    <w:rsid w:val="0024519A"/>
    <w:rsid w:val="002852CB"/>
    <w:rsid w:val="002905A6"/>
    <w:rsid w:val="002A4BE2"/>
    <w:rsid w:val="002B1E7C"/>
    <w:rsid w:val="002D28A8"/>
    <w:rsid w:val="002E4B65"/>
    <w:rsid w:val="002F33BE"/>
    <w:rsid w:val="002F44A6"/>
    <w:rsid w:val="0030616A"/>
    <w:rsid w:val="00325149"/>
    <w:rsid w:val="00325B05"/>
    <w:rsid w:val="00334B9D"/>
    <w:rsid w:val="00334CAF"/>
    <w:rsid w:val="00342B6C"/>
    <w:rsid w:val="00344E8A"/>
    <w:rsid w:val="00354930"/>
    <w:rsid w:val="00357EB9"/>
    <w:rsid w:val="003657E8"/>
    <w:rsid w:val="0036650B"/>
    <w:rsid w:val="00372519"/>
    <w:rsid w:val="003739CB"/>
    <w:rsid w:val="003741A0"/>
    <w:rsid w:val="00386950"/>
    <w:rsid w:val="00386EA6"/>
    <w:rsid w:val="00391F34"/>
    <w:rsid w:val="00392560"/>
    <w:rsid w:val="00396366"/>
    <w:rsid w:val="003A0389"/>
    <w:rsid w:val="003A3B23"/>
    <w:rsid w:val="003A3E1C"/>
    <w:rsid w:val="003A4733"/>
    <w:rsid w:val="003A582C"/>
    <w:rsid w:val="003A6428"/>
    <w:rsid w:val="003A79DC"/>
    <w:rsid w:val="003B58A4"/>
    <w:rsid w:val="003B5C35"/>
    <w:rsid w:val="003C4D57"/>
    <w:rsid w:val="003D2FC1"/>
    <w:rsid w:val="003E51B1"/>
    <w:rsid w:val="003F57B0"/>
    <w:rsid w:val="0040152A"/>
    <w:rsid w:val="0041544E"/>
    <w:rsid w:val="00420716"/>
    <w:rsid w:val="00421801"/>
    <w:rsid w:val="004324D0"/>
    <w:rsid w:val="0045301F"/>
    <w:rsid w:val="00454771"/>
    <w:rsid w:val="00465166"/>
    <w:rsid w:val="004667DB"/>
    <w:rsid w:val="00466F48"/>
    <w:rsid w:val="00477DE8"/>
    <w:rsid w:val="00483A2A"/>
    <w:rsid w:val="004A0A9B"/>
    <w:rsid w:val="004A3E65"/>
    <w:rsid w:val="004B22EB"/>
    <w:rsid w:val="004B2E20"/>
    <w:rsid w:val="004B4DF1"/>
    <w:rsid w:val="004E0E41"/>
    <w:rsid w:val="004E72F0"/>
    <w:rsid w:val="004F07B0"/>
    <w:rsid w:val="004F0919"/>
    <w:rsid w:val="004F23D3"/>
    <w:rsid w:val="004F3D0E"/>
    <w:rsid w:val="004F3FCA"/>
    <w:rsid w:val="004F5F36"/>
    <w:rsid w:val="00502ECC"/>
    <w:rsid w:val="00515EC7"/>
    <w:rsid w:val="0051639F"/>
    <w:rsid w:val="00525A1A"/>
    <w:rsid w:val="00525D8B"/>
    <w:rsid w:val="00530F11"/>
    <w:rsid w:val="00535DD1"/>
    <w:rsid w:val="00547D7E"/>
    <w:rsid w:val="005508EE"/>
    <w:rsid w:val="00560FAA"/>
    <w:rsid w:val="00561C62"/>
    <w:rsid w:val="00565B20"/>
    <w:rsid w:val="0057745F"/>
    <w:rsid w:val="005933D0"/>
    <w:rsid w:val="00594640"/>
    <w:rsid w:val="005A613B"/>
    <w:rsid w:val="005B0597"/>
    <w:rsid w:val="005B3F1A"/>
    <w:rsid w:val="005C38C9"/>
    <w:rsid w:val="005C6EA6"/>
    <w:rsid w:val="005D2900"/>
    <w:rsid w:val="005F5A17"/>
    <w:rsid w:val="00601646"/>
    <w:rsid w:val="0063627E"/>
    <w:rsid w:val="00642B8A"/>
    <w:rsid w:val="006521D6"/>
    <w:rsid w:val="00657064"/>
    <w:rsid w:val="00660492"/>
    <w:rsid w:val="006619AC"/>
    <w:rsid w:val="00664744"/>
    <w:rsid w:val="0068704B"/>
    <w:rsid w:val="006A2164"/>
    <w:rsid w:val="006C21F7"/>
    <w:rsid w:val="006C331C"/>
    <w:rsid w:val="006C7E52"/>
    <w:rsid w:val="006D2FF0"/>
    <w:rsid w:val="006D36B5"/>
    <w:rsid w:val="006D5030"/>
    <w:rsid w:val="006D68F0"/>
    <w:rsid w:val="006F1D8C"/>
    <w:rsid w:val="006F6C7B"/>
    <w:rsid w:val="00706C70"/>
    <w:rsid w:val="007175A7"/>
    <w:rsid w:val="0072446E"/>
    <w:rsid w:val="007335C0"/>
    <w:rsid w:val="00735D1F"/>
    <w:rsid w:val="007445CC"/>
    <w:rsid w:val="00753F86"/>
    <w:rsid w:val="0077353D"/>
    <w:rsid w:val="00782738"/>
    <w:rsid w:val="00783549"/>
    <w:rsid w:val="007853DF"/>
    <w:rsid w:val="00786681"/>
    <w:rsid w:val="007A2217"/>
    <w:rsid w:val="007B3BCE"/>
    <w:rsid w:val="007B411B"/>
    <w:rsid w:val="007C223D"/>
    <w:rsid w:val="007D263C"/>
    <w:rsid w:val="007D71DB"/>
    <w:rsid w:val="007D75CE"/>
    <w:rsid w:val="007E65B9"/>
    <w:rsid w:val="007F05D8"/>
    <w:rsid w:val="007F42BD"/>
    <w:rsid w:val="00800387"/>
    <w:rsid w:val="00811590"/>
    <w:rsid w:val="00820536"/>
    <w:rsid w:val="008234FC"/>
    <w:rsid w:val="0082656D"/>
    <w:rsid w:val="008302EF"/>
    <w:rsid w:val="00842551"/>
    <w:rsid w:val="00845071"/>
    <w:rsid w:val="00845D4F"/>
    <w:rsid w:val="00851986"/>
    <w:rsid w:val="00855E63"/>
    <w:rsid w:val="00870A1E"/>
    <w:rsid w:val="00871B51"/>
    <w:rsid w:val="00873E56"/>
    <w:rsid w:val="00877D93"/>
    <w:rsid w:val="0088147B"/>
    <w:rsid w:val="008A1AFB"/>
    <w:rsid w:val="008B1E69"/>
    <w:rsid w:val="008C2A7B"/>
    <w:rsid w:val="008C3331"/>
    <w:rsid w:val="008C7E8F"/>
    <w:rsid w:val="008D15B4"/>
    <w:rsid w:val="008E3741"/>
    <w:rsid w:val="008E55AF"/>
    <w:rsid w:val="008E6B5D"/>
    <w:rsid w:val="008F191C"/>
    <w:rsid w:val="00934A89"/>
    <w:rsid w:val="0093747B"/>
    <w:rsid w:val="00942E32"/>
    <w:rsid w:val="00957390"/>
    <w:rsid w:val="0096350C"/>
    <w:rsid w:val="00967FCF"/>
    <w:rsid w:val="00974CD1"/>
    <w:rsid w:val="00983B81"/>
    <w:rsid w:val="00985EB3"/>
    <w:rsid w:val="00986C7C"/>
    <w:rsid w:val="00992235"/>
    <w:rsid w:val="0099481D"/>
    <w:rsid w:val="009A19FB"/>
    <w:rsid w:val="009A730A"/>
    <w:rsid w:val="009B1FAF"/>
    <w:rsid w:val="009C5735"/>
    <w:rsid w:val="009E7AD5"/>
    <w:rsid w:val="009F18EE"/>
    <w:rsid w:val="00A06BF5"/>
    <w:rsid w:val="00A101BF"/>
    <w:rsid w:val="00A30E20"/>
    <w:rsid w:val="00A326CD"/>
    <w:rsid w:val="00A36460"/>
    <w:rsid w:val="00A50D63"/>
    <w:rsid w:val="00A65CE5"/>
    <w:rsid w:val="00A770B2"/>
    <w:rsid w:val="00A77BE1"/>
    <w:rsid w:val="00A84284"/>
    <w:rsid w:val="00A857AC"/>
    <w:rsid w:val="00A917FF"/>
    <w:rsid w:val="00AA6BCD"/>
    <w:rsid w:val="00AB3ED6"/>
    <w:rsid w:val="00AB7DCC"/>
    <w:rsid w:val="00AC3017"/>
    <w:rsid w:val="00AC42DC"/>
    <w:rsid w:val="00AC586B"/>
    <w:rsid w:val="00AD0364"/>
    <w:rsid w:val="00AE597C"/>
    <w:rsid w:val="00B019D7"/>
    <w:rsid w:val="00B043F3"/>
    <w:rsid w:val="00B05E19"/>
    <w:rsid w:val="00B070F1"/>
    <w:rsid w:val="00B16FD1"/>
    <w:rsid w:val="00B22453"/>
    <w:rsid w:val="00B431C2"/>
    <w:rsid w:val="00B53F15"/>
    <w:rsid w:val="00B63514"/>
    <w:rsid w:val="00B73D3D"/>
    <w:rsid w:val="00BA1540"/>
    <w:rsid w:val="00BB47C2"/>
    <w:rsid w:val="00BD6709"/>
    <w:rsid w:val="00BE5F05"/>
    <w:rsid w:val="00BE7760"/>
    <w:rsid w:val="00BF7218"/>
    <w:rsid w:val="00C06412"/>
    <w:rsid w:val="00C17726"/>
    <w:rsid w:val="00C22169"/>
    <w:rsid w:val="00C245DA"/>
    <w:rsid w:val="00C25492"/>
    <w:rsid w:val="00C331DC"/>
    <w:rsid w:val="00C5048B"/>
    <w:rsid w:val="00C53F5F"/>
    <w:rsid w:val="00C661A4"/>
    <w:rsid w:val="00C66C80"/>
    <w:rsid w:val="00C743F8"/>
    <w:rsid w:val="00C74BDB"/>
    <w:rsid w:val="00C81723"/>
    <w:rsid w:val="00C82493"/>
    <w:rsid w:val="00C92933"/>
    <w:rsid w:val="00C97C65"/>
    <w:rsid w:val="00CC0914"/>
    <w:rsid w:val="00CC14F0"/>
    <w:rsid w:val="00CD4DB6"/>
    <w:rsid w:val="00CE2503"/>
    <w:rsid w:val="00CF2037"/>
    <w:rsid w:val="00CF58A4"/>
    <w:rsid w:val="00D001DE"/>
    <w:rsid w:val="00D0073E"/>
    <w:rsid w:val="00D007B4"/>
    <w:rsid w:val="00D2218F"/>
    <w:rsid w:val="00D24E9B"/>
    <w:rsid w:val="00D261B6"/>
    <w:rsid w:val="00D2625E"/>
    <w:rsid w:val="00D319A6"/>
    <w:rsid w:val="00D450C3"/>
    <w:rsid w:val="00D62202"/>
    <w:rsid w:val="00D74E8D"/>
    <w:rsid w:val="00D76F68"/>
    <w:rsid w:val="00D80590"/>
    <w:rsid w:val="00D82452"/>
    <w:rsid w:val="00D90FA9"/>
    <w:rsid w:val="00D92EF4"/>
    <w:rsid w:val="00DA2814"/>
    <w:rsid w:val="00DA37E8"/>
    <w:rsid w:val="00DA706D"/>
    <w:rsid w:val="00DC0501"/>
    <w:rsid w:val="00DD24D7"/>
    <w:rsid w:val="00DD7511"/>
    <w:rsid w:val="00DE5681"/>
    <w:rsid w:val="00DF1150"/>
    <w:rsid w:val="00E0233D"/>
    <w:rsid w:val="00E204A8"/>
    <w:rsid w:val="00E2733A"/>
    <w:rsid w:val="00E35192"/>
    <w:rsid w:val="00E6629A"/>
    <w:rsid w:val="00EA3C80"/>
    <w:rsid w:val="00EA7C0C"/>
    <w:rsid w:val="00EB60F5"/>
    <w:rsid w:val="00EC2DFC"/>
    <w:rsid w:val="00EC6515"/>
    <w:rsid w:val="00ED5852"/>
    <w:rsid w:val="00EE17BE"/>
    <w:rsid w:val="00EE34AD"/>
    <w:rsid w:val="00EF4CED"/>
    <w:rsid w:val="00EF68DF"/>
    <w:rsid w:val="00F079D0"/>
    <w:rsid w:val="00F07C3F"/>
    <w:rsid w:val="00F120EB"/>
    <w:rsid w:val="00F15A02"/>
    <w:rsid w:val="00F27FB8"/>
    <w:rsid w:val="00F42736"/>
    <w:rsid w:val="00F718FB"/>
    <w:rsid w:val="00F739B7"/>
    <w:rsid w:val="00F91D5D"/>
    <w:rsid w:val="00FA0961"/>
    <w:rsid w:val="00FA3E4D"/>
    <w:rsid w:val="00FA73C0"/>
    <w:rsid w:val="00FC3C41"/>
    <w:rsid w:val="00FC751E"/>
    <w:rsid w:val="00FE0F75"/>
    <w:rsid w:val="00FE4B2D"/>
    <w:rsid w:val="00FE75AB"/>
    <w:rsid w:val="00FF20C7"/>
    <w:rsid w:val="00FF4080"/>
    <w:rsid w:val="00FF5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4080"/>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4080"/>
    <w:rPr>
      <w:rFonts w:ascii="Times New Roman" w:eastAsia="Times New Roman" w:hAnsi="Times New Roman" w:cs="Times New Roman"/>
      <w:b/>
      <w:bCs/>
      <w:sz w:val="24"/>
      <w:szCs w:val="24"/>
      <w:lang w:eastAsia="en-US"/>
    </w:rPr>
  </w:style>
  <w:style w:type="paragraph" w:styleId="NoSpacing">
    <w:name w:val="No Spacing"/>
    <w:uiPriority w:val="1"/>
    <w:qFormat/>
    <w:rsid w:val="00FF4080"/>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B6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5"/>
    <w:rPr>
      <w:rFonts w:ascii="Segoe UI" w:hAnsi="Segoe UI" w:cs="Segoe UI"/>
      <w:sz w:val="18"/>
      <w:szCs w:val="18"/>
    </w:rPr>
  </w:style>
  <w:style w:type="paragraph" w:styleId="BodyText2">
    <w:name w:val="Body Text 2"/>
    <w:basedOn w:val="Normal"/>
    <w:link w:val="BodyText2Char"/>
    <w:uiPriority w:val="99"/>
    <w:rsid w:val="00BB47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B47C2"/>
    <w:rPr>
      <w:rFonts w:ascii="Times New Roman" w:eastAsia="Times New Roman" w:hAnsi="Times New Roman" w:cs="Times New Roman"/>
      <w:sz w:val="24"/>
      <w:szCs w:val="24"/>
    </w:rPr>
  </w:style>
  <w:style w:type="paragraph" w:styleId="NormalWeb">
    <w:name w:val="Normal (Web)"/>
    <w:basedOn w:val="Normal"/>
    <w:uiPriority w:val="99"/>
    <w:unhideWhenUsed/>
    <w:rsid w:val="00386EA6"/>
    <w:pPr>
      <w:spacing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2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4080"/>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4080"/>
    <w:rPr>
      <w:rFonts w:ascii="Times New Roman" w:eastAsia="Times New Roman" w:hAnsi="Times New Roman" w:cs="Times New Roman"/>
      <w:b/>
      <w:bCs/>
      <w:sz w:val="24"/>
      <w:szCs w:val="24"/>
      <w:lang w:eastAsia="en-US"/>
    </w:rPr>
  </w:style>
  <w:style w:type="paragraph" w:styleId="NoSpacing">
    <w:name w:val="No Spacing"/>
    <w:uiPriority w:val="1"/>
    <w:qFormat/>
    <w:rsid w:val="00FF4080"/>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B6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5"/>
    <w:rPr>
      <w:rFonts w:ascii="Segoe UI" w:hAnsi="Segoe UI" w:cs="Segoe UI"/>
      <w:sz w:val="18"/>
      <w:szCs w:val="18"/>
    </w:rPr>
  </w:style>
  <w:style w:type="paragraph" w:styleId="BodyText2">
    <w:name w:val="Body Text 2"/>
    <w:basedOn w:val="Normal"/>
    <w:link w:val="BodyText2Char"/>
    <w:uiPriority w:val="99"/>
    <w:rsid w:val="00BB47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B47C2"/>
    <w:rPr>
      <w:rFonts w:ascii="Times New Roman" w:eastAsia="Times New Roman" w:hAnsi="Times New Roman" w:cs="Times New Roman"/>
      <w:sz w:val="24"/>
      <w:szCs w:val="24"/>
    </w:rPr>
  </w:style>
  <w:style w:type="paragraph" w:styleId="NormalWeb">
    <w:name w:val="Normal (Web)"/>
    <w:basedOn w:val="Normal"/>
    <w:uiPriority w:val="99"/>
    <w:unhideWhenUsed/>
    <w:rsid w:val="00386EA6"/>
    <w:pPr>
      <w:spacing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5273">
      <w:bodyDiv w:val="1"/>
      <w:marLeft w:val="0"/>
      <w:marRight w:val="0"/>
      <w:marTop w:val="0"/>
      <w:marBottom w:val="0"/>
      <w:divBdr>
        <w:top w:val="none" w:sz="0" w:space="0" w:color="auto"/>
        <w:left w:val="none" w:sz="0" w:space="0" w:color="auto"/>
        <w:bottom w:val="none" w:sz="0" w:space="0" w:color="auto"/>
        <w:right w:val="none" w:sz="0" w:space="0" w:color="auto"/>
      </w:divBdr>
    </w:div>
    <w:div w:id="597950795">
      <w:bodyDiv w:val="1"/>
      <w:marLeft w:val="0"/>
      <w:marRight w:val="0"/>
      <w:marTop w:val="0"/>
      <w:marBottom w:val="0"/>
      <w:divBdr>
        <w:top w:val="none" w:sz="0" w:space="0" w:color="auto"/>
        <w:left w:val="none" w:sz="0" w:space="0" w:color="auto"/>
        <w:bottom w:val="none" w:sz="0" w:space="0" w:color="auto"/>
        <w:right w:val="none" w:sz="0" w:space="0" w:color="auto"/>
      </w:divBdr>
    </w:div>
    <w:div w:id="700280695">
      <w:bodyDiv w:val="1"/>
      <w:marLeft w:val="0"/>
      <w:marRight w:val="0"/>
      <w:marTop w:val="0"/>
      <w:marBottom w:val="0"/>
      <w:divBdr>
        <w:top w:val="none" w:sz="0" w:space="0" w:color="auto"/>
        <w:left w:val="none" w:sz="0" w:space="0" w:color="auto"/>
        <w:bottom w:val="none" w:sz="0" w:space="0" w:color="auto"/>
        <w:right w:val="none" w:sz="0" w:space="0" w:color="auto"/>
      </w:divBdr>
    </w:div>
    <w:div w:id="1670979487">
      <w:bodyDiv w:val="1"/>
      <w:marLeft w:val="0"/>
      <w:marRight w:val="0"/>
      <w:marTop w:val="0"/>
      <w:marBottom w:val="0"/>
      <w:divBdr>
        <w:top w:val="none" w:sz="0" w:space="0" w:color="auto"/>
        <w:left w:val="none" w:sz="0" w:space="0" w:color="auto"/>
        <w:bottom w:val="none" w:sz="0" w:space="0" w:color="auto"/>
        <w:right w:val="none" w:sz="0" w:space="0" w:color="auto"/>
      </w:divBdr>
    </w:div>
    <w:div w:id="16882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7D56-7620-4DA5-BC6A-6E81728D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havva.sarp</dc:creator>
  <cp:lastModifiedBy>Alara Ataç</cp:lastModifiedBy>
  <cp:revision>2</cp:revision>
  <cp:lastPrinted>2022-06-01T06:11:00Z</cp:lastPrinted>
  <dcterms:created xsi:type="dcterms:W3CDTF">2023-11-01T08:25:00Z</dcterms:created>
  <dcterms:modified xsi:type="dcterms:W3CDTF">2023-11-01T08:25:00Z</dcterms:modified>
</cp:coreProperties>
</file>