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8" w:rsidRDefault="00646AB6" w:rsidP="00674CE1">
      <w:pPr>
        <w:jc w:val="both"/>
        <w:rPr>
          <w:rFonts w:eastAsia="Times New Roman" w:cs="Times New Roman"/>
          <w:sz w:val="26"/>
          <w:szCs w:val="26"/>
          <w:lang w:eastAsia="tr-TR"/>
        </w:rPr>
      </w:pPr>
      <w:bookmarkStart w:id="0" w:name="_GoBack"/>
      <w:bookmarkEnd w:id="0"/>
      <w:r>
        <w:rPr>
          <w:rFonts w:eastAsia="Times New Roman" w:cs="Times New Roman"/>
          <w:sz w:val="26"/>
          <w:szCs w:val="26"/>
          <w:lang w:eastAsia="tr-TR"/>
        </w:rPr>
        <w:t xml:space="preserve"> </w:t>
      </w:r>
      <w:r w:rsidR="00674CE1" w:rsidRPr="00674CE1">
        <w:rPr>
          <w:rFonts w:eastAsia="Times New Roman" w:cs="Times New Roman"/>
          <w:sz w:val="26"/>
          <w:szCs w:val="26"/>
          <w:lang w:eastAsia="tr-TR"/>
        </w:rPr>
        <w:t xml:space="preserve">Kuzey Kıbrıs Türk Cumhuriyeti Cumhuriyet Meclisi’nin 9 Ekim 2023 tarihli </w:t>
      </w:r>
      <w:r w:rsidR="00674CE1">
        <w:rPr>
          <w:rFonts w:eastAsia="Times New Roman" w:cs="Times New Roman"/>
          <w:sz w:val="26"/>
          <w:szCs w:val="26"/>
          <w:lang w:eastAsia="tr-TR"/>
        </w:rPr>
        <w:t>Üçüncü Birleşiminde Oyçokluğuyla</w:t>
      </w:r>
      <w:r w:rsidR="00674CE1" w:rsidRPr="00674CE1">
        <w:rPr>
          <w:rFonts w:eastAsia="Times New Roman" w:cs="Times New Roman"/>
          <w:sz w:val="26"/>
          <w:szCs w:val="26"/>
          <w:lang w:eastAsia="tr-TR"/>
        </w:rPr>
        <w:t xml:space="preserve"> kabul olunan “2023 Mali Yılı Ek Bütçe </w:t>
      </w:r>
      <w:r w:rsidR="00674CE1">
        <w:rPr>
          <w:rFonts w:eastAsia="Times New Roman" w:cs="Times New Roman"/>
          <w:sz w:val="26"/>
          <w:szCs w:val="26"/>
          <w:lang w:eastAsia="tr-TR"/>
        </w:rPr>
        <w:t>Y</w:t>
      </w:r>
      <w:r w:rsidR="00674CE1" w:rsidRPr="00674CE1">
        <w:rPr>
          <w:rFonts w:eastAsia="Times New Roman" w:cs="Times New Roman"/>
          <w:sz w:val="26"/>
          <w:szCs w:val="26"/>
          <w:lang w:eastAsia="tr-TR"/>
        </w:rPr>
        <w:t>asası” Anayasanın 94'üncü maddesinin (1)'inci fıkrası gereğince Kuzey Kıbrıs Türk Cumhuriyeti Cumhurbaşkanı tarafından Resmi Gazete'de yayımlanmak suretiyle ilan olunur.</w:t>
      </w:r>
    </w:p>
    <w:p w:rsidR="00F62C98" w:rsidRDefault="00F62C98" w:rsidP="00112424">
      <w:pPr>
        <w:ind w:firstLine="708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F62C98" w:rsidRDefault="00F62C98" w:rsidP="00112424">
      <w:pPr>
        <w:ind w:firstLine="708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F62C98" w:rsidRDefault="00674CE1" w:rsidP="00674CE1">
      <w:pPr>
        <w:ind w:firstLine="708"/>
        <w:jc w:val="center"/>
        <w:rPr>
          <w:rFonts w:eastAsia="Times New Roman" w:cs="Times New Roman"/>
          <w:sz w:val="26"/>
          <w:szCs w:val="26"/>
          <w:lang w:eastAsia="tr-TR"/>
        </w:rPr>
      </w:pPr>
      <w:r w:rsidRPr="00674CE1">
        <w:rPr>
          <w:rFonts w:eastAsia="Times New Roman" w:cs="Times New Roman"/>
          <w:sz w:val="26"/>
          <w:szCs w:val="26"/>
          <w:lang w:eastAsia="tr-TR"/>
        </w:rPr>
        <w:t>Sayı: 51/2023</w:t>
      </w:r>
    </w:p>
    <w:p w:rsidR="00F62C98" w:rsidRDefault="00F62C98" w:rsidP="00112424">
      <w:pPr>
        <w:ind w:firstLine="708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F62C98" w:rsidRPr="00F62C98" w:rsidRDefault="00F62C98" w:rsidP="00F62C98">
      <w:pPr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</w:p>
    <w:p w:rsidR="00F62C98" w:rsidRPr="00F62C98" w:rsidRDefault="00F62C98" w:rsidP="00F62C98">
      <w:pPr>
        <w:jc w:val="center"/>
        <w:rPr>
          <w:rFonts w:eastAsia="Times New Roman" w:cs="Times New Roman"/>
          <w:bCs/>
          <w:sz w:val="22"/>
          <w:lang w:eastAsia="tr-TR"/>
        </w:rPr>
      </w:pPr>
      <w:r w:rsidRPr="00F62C98">
        <w:rPr>
          <w:rFonts w:eastAsia="Times New Roman" w:cs="Times New Roman"/>
          <w:bCs/>
          <w:sz w:val="24"/>
          <w:lang w:eastAsia="tr-TR"/>
        </w:rPr>
        <w:t xml:space="preserve">2023 </w:t>
      </w:r>
      <w:r w:rsidR="00411461">
        <w:rPr>
          <w:rFonts w:eastAsia="Times New Roman" w:cs="Times New Roman"/>
          <w:bCs/>
          <w:sz w:val="24"/>
          <w:lang w:eastAsia="tr-TR"/>
        </w:rPr>
        <w:t>MALİ YILI EK BÜTÇE YASASI</w:t>
      </w:r>
    </w:p>
    <w:p w:rsidR="00F62C98" w:rsidRPr="00F62C98" w:rsidRDefault="00F62C98" w:rsidP="00F62C98">
      <w:pPr>
        <w:rPr>
          <w:rFonts w:ascii="Arial" w:eastAsia="Times New Roman" w:hAnsi="Arial" w:cs="Arial"/>
          <w:sz w:val="22"/>
          <w:lang w:eastAsia="tr-TR"/>
        </w:rPr>
      </w:pPr>
    </w:p>
    <w:p w:rsidR="00F62C98" w:rsidRPr="00F62C98" w:rsidRDefault="00F62C98" w:rsidP="00F62C98">
      <w:pPr>
        <w:rPr>
          <w:rFonts w:ascii="Arial" w:eastAsia="Times New Roman" w:hAnsi="Arial" w:cs="Arial"/>
          <w:sz w:val="22"/>
          <w:lang w:eastAsia="tr-TR"/>
        </w:rPr>
      </w:pPr>
    </w:p>
    <w:tbl>
      <w:tblPr>
        <w:tblW w:w="14268" w:type="dxa"/>
        <w:tblLook w:val="01E0" w:firstRow="1" w:lastRow="1" w:firstColumn="1" w:lastColumn="1" w:noHBand="0" w:noVBand="0"/>
      </w:tblPr>
      <w:tblGrid>
        <w:gridCol w:w="1809"/>
        <w:gridCol w:w="236"/>
        <w:gridCol w:w="12223"/>
      </w:tblGrid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59" w:type="dxa"/>
            <w:gridSpan w:val="2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            Kuzey Kıbrıs Türk Cumhuriyeti Cumhuriyet Meclisi aşağıdaki Yasayı yapar:</w:t>
            </w:r>
          </w:p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rPr>
          <w:trHeight w:val="586"/>
        </w:trPr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Kısa İsim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1/2023</w:t>
            </w:r>
          </w:p>
        </w:tc>
        <w:tc>
          <w:tcPr>
            <w:tcW w:w="12459" w:type="dxa"/>
            <w:gridSpan w:val="2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1. Bu Yasa, 2023 Mali Yılı Ek Bütçe Yasası olarak isimlendirilir ve aşağıda “Esas Yasa” olarak anılan 2023 Mali Yılı Bütçe Yasası ile birlikte okunur.</w:t>
            </w: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3" w:type="dxa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31 Aralık 2023 Tarihinde Sona Erecek Mali Yıl İçin Tahsis Edilen Ek Ödenekler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Cetvel I</w:t>
            </w:r>
          </w:p>
        </w:tc>
        <w:tc>
          <w:tcPr>
            <w:tcW w:w="12459" w:type="dxa"/>
            <w:gridSpan w:val="2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2. Esas Yasanın 2’nci maddesine bağlı “A” Ödenekler Cetvelinde, 2023 Mali Yılında 35,860,000,000.-TL (Otuz Beş Milyar, Sekiz Yüz Altmış Milyon Türk Lirası) olarak tahsis edilen ödeneklere, Ek’te belirtilen Cetvele bağlı ödenek kalemlerine toplam 4,450,000,000.-TL (Dört Milyar, Dört Yüz Elli Milyon Türk Lirası) artırılmak suretiyle toplam 40,310,000,000.-TL (Kırk Milyar, Üç Yüz On Milyon Türk Lirası) ödenek tahsis edilir.</w:t>
            </w: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auto"/>
          </w:tcPr>
          <w:p w:rsidR="00F62C98" w:rsidRPr="00F62C98" w:rsidRDefault="00F62C98" w:rsidP="00F62C98">
            <w:pPr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3" w:type="dxa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Ek Bütçenin Finansmanı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Cetvel II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59" w:type="dxa"/>
            <w:gridSpan w:val="2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3. Esas Yasanın 3’üncü maddesine bağlı “B” Gelirler Cetvelinde; </w:t>
            </w:r>
          </w:p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21,470,000,000.-TL (Yirmi Bir Milyar, Dört Yüz Yetmiş Milyon Türk Lirası) olan Mahalli Gelirin 3,980,000,000.-TL (Üç Milyar, Dokuz Yüz Seksen Milyon Türk Lirası) artırılması, </w:t>
            </w:r>
          </w:p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2,350,000,000.-TL (İki Milyar, Üç Yüz Elli Milyon Türk Lirası) olan Fiyat İstikrar Fonu Gelirinin 470,000,000.-TL (Dört Yüz Yetmiş Milyon Türk Lirası) artırılması, </w:t>
            </w:r>
          </w:p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suretiyle 2023 Mali Yılında 35,860,000,000.-TL (Otuz Beş Milyar, Sekiz Yüz Altmış Milyon Türk Lirası) olarak öngörülen gelirler, Ek’te belirtilen kalemlere toplam 4,450,000,000.-TL (Dört Milyar, Dört Yüz Elli Milyon Türk Lirası) eklenmek suretiyle toplam 40,310,000,000.-TL (Kırk Milyar, Üç Yüz On Milyon Türk Lirası) gelir öngörülür. </w:t>
            </w: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59" w:type="dxa"/>
            <w:gridSpan w:val="2"/>
            <w:shd w:val="clear" w:color="auto" w:fill="auto"/>
          </w:tcPr>
          <w:p w:rsidR="00F62C98" w:rsidRPr="00F62C98" w:rsidRDefault="00F62C98" w:rsidP="00F62C9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62C98" w:rsidRPr="00F62C98" w:rsidTr="00646AB6">
        <w:tc>
          <w:tcPr>
            <w:tcW w:w="1809" w:type="dxa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12459" w:type="dxa"/>
            <w:gridSpan w:val="2"/>
            <w:shd w:val="clear" w:color="auto" w:fill="auto"/>
          </w:tcPr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2C98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4. Bu Yasa, Resmi Gazete’de yayımlandığı tarihten başlayarak yürürlüğe girer. </w:t>
            </w:r>
          </w:p>
          <w:p w:rsidR="00F62C98" w:rsidRPr="00F62C98" w:rsidRDefault="00F62C98" w:rsidP="00F62C9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62C98" w:rsidRDefault="00F62C98" w:rsidP="00112424">
      <w:pPr>
        <w:ind w:firstLine="708"/>
        <w:jc w:val="both"/>
        <w:rPr>
          <w:rFonts w:eastAsia="Times New Roman" w:cs="Times New Roman"/>
          <w:sz w:val="26"/>
          <w:szCs w:val="26"/>
          <w:lang w:eastAsia="tr-TR"/>
        </w:rPr>
      </w:pPr>
    </w:p>
    <w:p w:rsidR="00F94294" w:rsidRDefault="00F94294" w:rsidP="003F32E0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tr-TR"/>
        </w:rPr>
      </w:pPr>
    </w:p>
    <w:sectPr w:rsidR="00F94294" w:rsidSect="00250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E"/>
    <w:rsid w:val="000C3C25"/>
    <w:rsid w:val="00112424"/>
    <w:rsid w:val="002501EE"/>
    <w:rsid w:val="003C7388"/>
    <w:rsid w:val="003F32E0"/>
    <w:rsid w:val="00411461"/>
    <w:rsid w:val="0041696C"/>
    <w:rsid w:val="00584929"/>
    <w:rsid w:val="00646AB6"/>
    <w:rsid w:val="00674CE1"/>
    <w:rsid w:val="006825AE"/>
    <w:rsid w:val="00752373"/>
    <w:rsid w:val="008041FD"/>
    <w:rsid w:val="008728C1"/>
    <w:rsid w:val="009C06E7"/>
    <w:rsid w:val="009C1A05"/>
    <w:rsid w:val="009D3538"/>
    <w:rsid w:val="00B65E06"/>
    <w:rsid w:val="00C15B25"/>
    <w:rsid w:val="00CF1F78"/>
    <w:rsid w:val="00DC6879"/>
    <w:rsid w:val="00E03C1F"/>
    <w:rsid w:val="00F62C98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EE"/>
    <w:pPr>
      <w:spacing w:after="0" w:line="240" w:lineRule="auto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EE"/>
    <w:pPr>
      <w:spacing w:after="0" w:line="240" w:lineRule="auto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9AC5-91CC-49C1-BEAA-9521BDE0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Alara Ataç</dc:creator>
  <cp:lastModifiedBy>Alara Ataç</cp:lastModifiedBy>
  <cp:revision>3</cp:revision>
  <cp:lastPrinted>2023-10-10T09:56:00Z</cp:lastPrinted>
  <dcterms:created xsi:type="dcterms:W3CDTF">2023-10-12T11:48:00Z</dcterms:created>
  <dcterms:modified xsi:type="dcterms:W3CDTF">2023-10-12T12:07:00Z</dcterms:modified>
</cp:coreProperties>
</file>