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7D2D8C" w:rsidRPr="007D2D8C" w:rsidTr="00483433">
        <w:tc>
          <w:tcPr>
            <w:tcW w:w="9570" w:type="dxa"/>
            <w:hideMark/>
          </w:tcPr>
          <w:p w:rsidR="007D2D8C" w:rsidRPr="007D2D8C" w:rsidRDefault="007D2D8C" w:rsidP="007D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Kuzey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Kıbrıs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Cumhuriyeti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Cumhuriyet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Meclisi’nin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Kırkbirinci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Birleşiminde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birliğiyle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kabul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olunan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Motorlu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Araçlar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Trafik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(Değişiklik) Yasası</w:t>
            </w:r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Anayasanın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94’üncü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maddesinin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(1)’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fıkrası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gereğince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Kuzey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Kıbrıs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Cumhuriyeti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Cumhurbaşkanı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tarafından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Resmi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Gazete’de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yayımlanmak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suretiyle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ilan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olunur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7D2D8C" w:rsidRPr="007D2D8C" w:rsidRDefault="007D2D8C" w:rsidP="00552FA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bookmarkStart w:id="0" w:name="_GoBack"/>
      <w:bookmarkEnd w:id="0"/>
    </w:p>
    <w:p w:rsidR="007D2D8C" w:rsidRDefault="007D2D8C" w:rsidP="007D2D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Sayı:15</w:t>
      </w:r>
      <w:r w:rsidRPr="007D2D8C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/2017</w:t>
      </w:r>
    </w:p>
    <w:p w:rsidR="007D2D8C" w:rsidRPr="007D2D8C" w:rsidRDefault="007D2D8C" w:rsidP="007D2D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</w:p>
    <w:tbl>
      <w:tblPr>
        <w:tblW w:w="1004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60"/>
        <w:gridCol w:w="1684"/>
        <w:gridCol w:w="426"/>
        <w:gridCol w:w="141"/>
        <w:gridCol w:w="426"/>
        <w:gridCol w:w="5678"/>
      </w:tblGrid>
      <w:tr w:rsidR="007D2D8C" w:rsidRPr="0010065A" w:rsidTr="00483433">
        <w:trPr>
          <w:trHeight w:val="283"/>
        </w:trPr>
        <w:tc>
          <w:tcPr>
            <w:tcW w:w="10046" w:type="dxa"/>
            <w:gridSpan w:val="7"/>
          </w:tcPr>
          <w:p w:rsidR="007D2D8C" w:rsidRPr="0010065A" w:rsidRDefault="007D2D8C" w:rsidP="004834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tr-TR" w:eastAsia="tr-TR"/>
              </w:rPr>
            </w:pPr>
            <w:r w:rsidRPr="0010065A"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tr-TR" w:eastAsia="tr-TR"/>
              </w:rPr>
              <w:t xml:space="preserve">MOTORLU ARAÇLAR VE YOL TRAFİK </w:t>
            </w:r>
          </w:p>
          <w:p w:rsidR="007D2D8C" w:rsidRPr="0010065A" w:rsidRDefault="007D2D8C" w:rsidP="004834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tr-TR" w:eastAsia="tr-TR"/>
              </w:rPr>
            </w:pPr>
            <w:r w:rsidRPr="0010065A"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tr-TR" w:eastAsia="tr-TR"/>
              </w:rPr>
              <w:t>(DEĞİŞİKLİK) YASASI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283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Kuzey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Kıbrıs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Cumhuriyeti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Cumhuriyet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Meclisi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Yasayı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7125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İsim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21/1974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12/1975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42/1975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40/1976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6/1977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24/1979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39/1982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50/1982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37/1985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40/1986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66/1987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59/1988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64/1988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66/1988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59/1990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67/1994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45/1997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41/1999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65/2002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19/2004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1/2005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48/2005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40/2008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48/2008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46/2009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84/2009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22/2010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7/2011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15/2014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43/2014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35/2015</w:t>
            </w:r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Bu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Yol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Trafik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isimlendirilir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anılan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Yol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Trafik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okunur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1’inci </w:t>
            </w:r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1’inci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kaldırılmak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sırasıyla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3’üncü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Maddeler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eklenmek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suretiyle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değiştirilir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Maddesinin</w:t>
            </w:r>
            <w:proofErr w:type="spellEnd"/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Değiştirilmesi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2’nci </w:t>
            </w: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</w:p>
        </w:tc>
        <w:tc>
          <w:tcPr>
            <w:tcW w:w="6671" w:type="dxa"/>
            <w:gridSpan w:val="4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tekrardan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yapılabilmesi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koşulları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getirir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3’üncü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Maddelerin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Eklenmesi</w:t>
            </w:r>
            <w:proofErr w:type="spellEnd"/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İlgili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Kurallar</w:t>
            </w:r>
            <w:proofErr w:type="spellEnd"/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5’inci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EK’in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Kısım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II’de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“IV.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Belgesi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İçin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Ödenecek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kıstaslar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çerçevesinde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cezalı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R.G.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A.E. 588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14.11.2013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R.G.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A.E. 26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10.01.2014</w:t>
            </w: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Çevre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31’inci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tahtında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çıkarılan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Taşıt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Egsoz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Emisyon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Kontrolü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Tüzüğü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yükümlülüklerini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getirir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Polis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Müdürlüğüne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Polis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Şubesinde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proofErr w:type="gram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fıkralarda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koşulları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getiren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belgeler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Ruhsatlandırma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Şubesinde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yaptırmadan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ödemeden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son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altı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ödeyerek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tarihleri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işlemini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yaptırır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ödenecek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bulunulan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oranları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alınmak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kaydıyla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tahsil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Edilmeyen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</w:p>
        </w:tc>
        <w:tc>
          <w:tcPr>
            <w:tcW w:w="6671" w:type="dxa"/>
            <w:gridSpan w:val="4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edilmeyen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geçerli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egzoz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emisyon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belgeleri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olması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5’inci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EK’in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KISIM I. “II. MOTORLU ARAÇ KAYIT VE RUHSAT HARÇLARI” “(2) MOTORLU ARAÇ RUHSAT HARÇLARI”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başlıklı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2’nci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kurallar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geriye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dönük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altı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toplamını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koşuluyla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gecikme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zammı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uygulanmadan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ödenecek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bulunulan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oranları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alınmak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kaydıyla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tahsil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3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Şekli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Yararlanma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Koşulları</w:t>
            </w:r>
            <w:proofErr w:type="spellEnd"/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8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tekrardan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yapılabilmesi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üç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Ruhsatlandırma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Şubesine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başvuruda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bulunur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işlemlerini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başvuru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alınmak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suretiyle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tamamlar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48/1977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28/1985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31/1988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31/1991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23/1997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54/1999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35/2005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59/2010</w:t>
            </w:r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8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(1)’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inci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fıkra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borçlarını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peşin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taksitli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Ruhsatlandırma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Şubesine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sahibinin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borcunu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taksitli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ödemeyi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etmesi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söz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konusu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tutarı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başvurunun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yapıldığı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hesabı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fazla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eşit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taksitte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Ödenmeyen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Alacaklarının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Tahsili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Usulü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tahsil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9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Yürürlükten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Kaldırma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R.G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Bölüm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R.G. Sayı:112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Sayı:4/2016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3. Bu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Edilmeyip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Gücünde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Kararname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Kararname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altında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halel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gelmeksizin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yürürlükten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kaldırılır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9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Bu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yayımlandığı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2D8C" w:rsidRPr="0010065A" w:rsidRDefault="007D2D8C" w:rsidP="007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69D2" w:rsidRDefault="00BE69D2"/>
    <w:sectPr w:rsidR="00BE6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C"/>
    <w:rsid w:val="00552FAC"/>
    <w:rsid w:val="007D2D8C"/>
    <w:rsid w:val="00BE69D2"/>
    <w:rsid w:val="00E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3</cp:revision>
  <dcterms:created xsi:type="dcterms:W3CDTF">2017-03-21T05:57:00Z</dcterms:created>
  <dcterms:modified xsi:type="dcterms:W3CDTF">2017-03-21T06:02:00Z</dcterms:modified>
</cp:coreProperties>
</file>