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CD" w:rsidRPr="00CB74CD" w:rsidRDefault="00CB74CD" w:rsidP="00CB74CD">
      <w:pPr>
        <w:spacing w:line="0" w:lineRule="atLeast"/>
        <w:jc w:val="both"/>
        <w:rPr>
          <w:rFonts w:eastAsia="Calibri"/>
          <w:b/>
          <w:bCs/>
          <w:lang w:eastAsia="en-US"/>
        </w:rPr>
      </w:pPr>
      <w:r w:rsidRPr="00CB74CD">
        <w:rPr>
          <w:rFonts w:eastAsia="Calibri"/>
          <w:b/>
          <w:bCs/>
          <w:lang w:eastAsia="en-US"/>
        </w:rPr>
        <w:t>Kuzey Kıbrıs Türk Cumhuriyeti</w:t>
      </w:r>
      <w:r w:rsidR="00A13A96">
        <w:rPr>
          <w:rFonts w:eastAsia="Calibri"/>
          <w:b/>
          <w:bCs/>
          <w:lang w:eastAsia="en-US"/>
        </w:rPr>
        <w:t xml:space="preserve"> Cumhuriyet Meclisi’nin 15 Nisan 2019 tarihli Ellialtıncı</w:t>
      </w:r>
      <w:r w:rsidRPr="00CB74CD">
        <w:rPr>
          <w:rFonts w:eastAsia="Calibri"/>
          <w:b/>
          <w:bCs/>
          <w:lang w:eastAsia="en-US"/>
        </w:rPr>
        <w:t xml:space="preserve">  Birleşiminde Oybirliğiyle kabul olunan “</w:t>
      </w:r>
      <w:r w:rsidR="00A13A96">
        <w:rPr>
          <w:rFonts w:eastAsia="Calibri"/>
          <w:b/>
          <w:bCs/>
          <w:lang w:eastAsia="en-US"/>
        </w:rPr>
        <w:t>Elektronik Haberleşme</w:t>
      </w:r>
      <w:bookmarkStart w:id="0" w:name="_GoBack"/>
      <w:bookmarkEnd w:id="0"/>
      <w:r w:rsidRPr="00CB74CD">
        <w:rPr>
          <w:rFonts w:eastAsia="Calibri"/>
          <w:b/>
          <w:bCs/>
          <w:lang w:eastAsia="en-US"/>
        </w:rPr>
        <w:t xml:space="preserve">  (Değişiklik) Yasası” Anayasanın 94’üncü maddesinin (1)’inci fıkrası gereğince Kuzey Kıbrıs Türk Cumhuriyeti Cumhurbaşkanı tarafından Resmi Gazete’de yayımlanmak suretiyle ilan olunur.</w:t>
      </w:r>
    </w:p>
    <w:p w:rsidR="00CB74CD" w:rsidRDefault="00CB74CD" w:rsidP="00F570A5">
      <w:pPr>
        <w:jc w:val="center"/>
      </w:pPr>
    </w:p>
    <w:p w:rsidR="00CB74CD" w:rsidRDefault="00CB74CD" w:rsidP="00F570A5">
      <w:pPr>
        <w:jc w:val="center"/>
      </w:pPr>
      <w:r w:rsidRPr="00CB74CD">
        <w:rPr>
          <w:b/>
        </w:rPr>
        <w:t>Sayı: 27/2019</w:t>
      </w:r>
      <w:r w:rsidR="007F045F">
        <w:t xml:space="preserve">  </w:t>
      </w:r>
    </w:p>
    <w:p w:rsidR="00CB74CD" w:rsidRDefault="00CB74CD" w:rsidP="00F570A5">
      <w:pPr>
        <w:jc w:val="center"/>
      </w:pPr>
    </w:p>
    <w:p w:rsidR="00CB74CD" w:rsidRDefault="00CB74CD" w:rsidP="00F570A5">
      <w:pPr>
        <w:jc w:val="center"/>
      </w:pPr>
    </w:p>
    <w:p w:rsidR="00F570A5" w:rsidRPr="002E2D2D" w:rsidRDefault="007F045F" w:rsidP="00F570A5">
      <w:pPr>
        <w:jc w:val="center"/>
      </w:pPr>
      <w:r>
        <w:t xml:space="preserve">                                                                                                                                                                                                                                                                                                                                                                                                                                                                                                                                                                                                                                                                                                                                                                                                                                                                                                                                                                                                                                                                                                                                                                                                                                                                                                                                                                                                                                                                                                                                                                                                                                                                                                                                                                                                                                                                                                                                                                                                                                                                                                                                                                                                                                                                                                                                                                                                                                                                                                                                                                                                                                                                                                                                                                                                                                                                                                                                                                                                                                                                                                                                                                                                                                                                                                                                                                                                                                                                                                                                                                                                                                                                                                                                                                                                                                                                                                                                                                                                                                                                                                                                                                                                                                                                                                                                                                                                                                                                                                                                                                                                                                                                                                                                                                                                                                                                                                                                                                                                                                                                                                                                                                                                                                                                                                                                                                                                                                                                                                                                                                                                                                                                                                                                                                                                                                                                                                                                                                                                                                                                                                                                                                                                                                                                                                                                                                                                                                                                                                                                                                                                                                                                                                                                                                                                                                                                                                                                                                                                                                                                                                                                                                                                                                                                                                                                                                                                                                                                                                                                                                                                                                                                                                                                                                                                                                                                                                                                                                                                                                                                                                                                                                                                                                                                                                                                                                                                                                                                                                                                                                                                                                                                                                                                                                                                                                                                                                                                                                                                                                                                                                                                                                                                                                                                                                                                                                                                                                                                                                                                                                  </w:t>
      </w:r>
      <w:r w:rsidR="00F570A5" w:rsidRPr="002E2D2D">
        <w:t xml:space="preserve">ELEKTRONİK HABERLEŞME (DEĞİŞİKLİK) </w:t>
      </w:r>
    </w:p>
    <w:p w:rsidR="00F570A5" w:rsidRPr="002E2D2D" w:rsidRDefault="00C521EB" w:rsidP="00F570A5">
      <w:pPr>
        <w:jc w:val="center"/>
      </w:pPr>
      <w:r>
        <w:t>YASASI</w:t>
      </w:r>
    </w:p>
    <w:p w:rsidR="00F570A5" w:rsidRPr="00F43F69" w:rsidRDefault="00F570A5" w:rsidP="00F570A5">
      <w:pPr>
        <w:jc w:val="center"/>
      </w:pPr>
    </w:p>
    <w:tbl>
      <w:tblPr>
        <w:tblW w:w="9290" w:type="dxa"/>
        <w:tblLayout w:type="fixed"/>
        <w:tblLook w:val="01E0" w:firstRow="1" w:lastRow="1" w:firstColumn="1" w:lastColumn="1" w:noHBand="0" w:noVBand="0"/>
      </w:tblPr>
      <w:tblGrid>
        <w:gridCol w:w="1704"/>
        <w:gridCol w:w="114"/>
        <w:gridCol w:w="236"/>
        <w:gridCol w:w="181"/>
        <w:gridCol w:w="29"/>
        <w:gridCol w:w="112"/>
        <w:gridCol w:w="386"/>
        <w:gridCol w:w="465"/>
        <w:gridCol w:w="425"/>
        <w:gridCol w:w="540"/>
        <w:gridCol w:w="594"/>
        <w:gridCol w:w="567"/>
        <w:gridCol w:w="3937"/>
      </w:tblGrid>
      <w:tr w:rsidR="00F570A5" w:rsidRPr="00F43F69" w:rsidTr="009610FD">
        <w:tc>
          <w:tcPr>
            <w:tcW w:w="1818" w:type="dxa"/>
            <w:gridSpan w:val="2"/>
          </w:tcPr>
          <w:p w:rsidR="00F570A5" w:rsidRPr="00F43F69" w:rsidRDefault="00F570A5" w:rsidP="00610C82">
            <w:pPr>
              <w:jc w:val="center"/>
              <w:outlineLvl w:val="0"/>
            </w:pPr>
          </w:p>
        </w:tc>
        <w:tc>
          <w:tcPr>
            <w:tcW w:w="7472" w:type="dxa"/>
            <w:gridSpan w:val="11"/>
          </w:tcPr>
          <w:p w:rsidR="00F570A5" w:rsidRPr="00F43F69" w:rsidRDefault="00F570A5" w:rsidP="00610C82">
            <w:pPr>
              <w:jc w:val="both"/>
              <w:outlineLvl w:val="0"/>
            </w:pPr>
            <w:r w:rsidRPr="00F43F69">
              <w:t xml:space="preserve">        Kuzey Kıbrıs Türk Cumhuriyeti Cumhuriyet Meclisi aşağıdaki Yasayı yapar:</w:t>
            </w:r>
          </w:p>
        </w:tc>
      </w:tr>
      <w:tr w:rsidR="00F570A5" w:rsidRPr="00F43F69" w:rsidTr="009610FD">
        <w:tc>
          <w:tcPr>
            <w:tcW w:w="1818" w:type="dxa"/>
            <w:gridSpan w:val="2"/>
          </w:tcPr>
          <w:p w:rsidR="00F570A5" w:rsidRPr="00F43F69" w:rsidRDefault="00F570A5" w:rsidP="00610C82">
            <w:pPr>
              <w:jc w:val="center"/>
              <w:outlineLvl w:val="0"/>
            </w:pPr>
          </w:p>
        </w:tc>
        <w:tc>
          <w:tcPr>
            <w:tcW w:w="7472" w:type="dxa"/>
            <w:gridSpan w:val="11"/>
          </w:tcPr>
          <w:p w:rsidR="00F570A5" w:rsidRPr="00F43F69" w:rsidRDefault="00F570A5" w:rsidP="00610C82">
            <w:pPr>
              <w:jc w:val="center"/>
              <w:outlineLvl w:val="0"/>
            </w:pPr>
          </w:p>
        </w:tc>
      </w:tr>
      <w:tr w:rsidR="00F570A5" w:rsidRPr="00F43F69" w:rsidTr="009610FD">
        <w:tc>
          <w:tcPr>
            <w:tcW w:w="1818" w:type="dxa"/>
            <w:gridSpan w:val="2"/>
          </w:tcPr>
          <w:p w:rsidR="00F570A5" w:rsidRPr="00F43F69" w:rsidRDefault="00F570A5" w:rsidP="00610C82">
            <w:r w:rsidRPr="00F43F69">
              <w:t>Kısa</w:t>
            </w:r>
            <w:r>
              <w:t xml:space="preserve"> </w:t>
            </w:r>
            <w:r w:rsidRPr="00F43F69">
              <w:t>İsim</w:t>
            </w:r>
          </w:p>
          <w:p w:rsidR="00F570A5" w:rsidRDefault="00F570A5" w:rsidP="00610C82">
            <w:pPr>
              <w:jc w:val="both"/>
            </w:pPr>
            <w:r w:rsidRPr="00F43F69">
              <w:t>6/2012</w:t>
            </w:r>
          </w:p>
          <w:p w:rsidR="00F570A5" w:rsidRDefault="00F570A5" w:rsidP="00610C82">
            <w:pPr>
              <w:jc w:val="both"/>
            </w:pPr>
            <w:r>
              <w:t xml:space="preserve">  21/2014</w:t>
            </w:r>
          </w:p>
          <w:p w:rsidR="00F570A5" w:rsidRPr="00F43F69" w:rsidRDefault="00F570A5" w:rsidP="00610C82">
            <w:pPr>
              <w:jc w:val="both"/>
            </w:pPr>
            <w:r>
              <w:t xml:space="preserve">  39/2016</w:t>
            </w:r>
          </w:p>
          <w:p w:rsidR="00F570A5" w:rsidRPr="00F43F69" w:rsidRDefault="00F570A5" w:rsidP="00610C82"/>
        </w:tc>
        <w:tc>
          <w:tcPr>
            <w:tcW w:w="7472" w:type="dxa"/>
            <w:gridSpan w:val="11"/>
          </w:tcPr>
          <w:p w:rsidR="00F570A5" w:rsidRPr="00F43F69" w:rsidRDefault="00F570A5" w:rsidP="00610C82">
            <w:pPr>
              <w:jc w:val="both"/>
              <w:outlineLvl w:val="0"/>
            </w:pPr>
            <w:r w:rsidRPr="00F43F69">
              <w:t>1. Bu Yasa, Elektronik Haberleşme (Değişiklik) Yasası olarak isimlendirilir ve aşağıda “Esas Yasa” olarak anılan “Elektronik Haberleşme Yasası” ile birlikte okunur.</w:t>
            </w:r>
          </w:p>
        </w:tc>
      </w:tr>
      <w:tr w:rsidR="00F570A5" w:rsidRPr="00F43F69" w:rsidTr="009610FD">
        <w:tc>
          <w:tcPr>
            <w:tcW w:w="1818" w:type="dxa"/>
            <w:gridSpan w:val="2"/>
          </w:tcPr>
          <w:p w:rsidR="00F570A5" w:rsidRPr="00F43F69" w:rsidRDefault="00F570A5" w:rsidP="00610C82">
            <w:pPr>
              <w:jc w:val="both"/>
            </w:pPr>
          </w:p>
        </w:tc>
        <w:tc>
          <w:tcPr>
            <w:tcW w:w="446" w:type="dxa"/>
            <w:gridSpan w:val="3"/>
          </w:tcPr>
          <w:p w:rsidR="00F570A5" w:rsidRPr="00F43F69" w:rsidRDefault="00F570A5" w:rsidP="00610C82">
            <w:pPr>
              <w:jc w:val="both"/>
            </w:pPr>
          </w:p>
        </w:tc>
        <w:tc>
          <w:tcPr>
            <w:tcW w:w="7026" w:type="dxa"/>
            <w:gridSpan w:val="8"/>
          </w:tcPr>
          <w:p w:rsidR="00F570A5" w:rsidRPr="00BE2BCF" w:rsidRDefault="00F570A5" w:rsidP="00610C82">
            <w:pPr>
              <w:jc w:val="both"/>
              <w:rPr>
                <w:rFonts w:eastAsia="Calibri"/>
              </w:rPr>
            </w:pPr>
          </w:p>
        </w:tc>
      </w:tr>
      <w:tr w:rsidR="00F570A5" w:rsidRPr="00F43F69" w:rsidTr="009610FD">
        <w:tc>
          <w:tcPr>
            <w:tcW w:w="1818" w:type="dxa"/>
            <w:gridSpan w:val="2"/>
          </w:tcPr>
          <w:p w:rsidR="00F570A5" w:rsidRPr="00F43F69" w:rsidRDefault="00F570A5" w:rsidP="006234DD">
            <w:r w:rsidRPr="00F43F69">
              <w:t>Esas</w:t>
            </w:r>
            <w:r>
              <w:t xml:space="preserve"> </w:t>
            </w:r>
            <w:r w:rsidR="006234DD">
              <w:t>Yasanın 95</w:t>
            </w:r>
            <w:r w:rsidRPr="00F43F69">
              <w:t>’</w:t>
            </w:r>
            <w:r w:rsidR="006234DD">
              <w:t>i</w:t>
            </w:r>
            <w:r>
              <w:t>nci</w:t>
            </w:r>
            <w:r w:rsidRPr="00F43F69">
              <w:t xml:space="preserve"> </w:t>
            </w:r>
          </w:p>
        </w:tc>
        <w:tc>
          <w:tcPr>
            <w:tcW w:w="7472" w:type="dxa"/>
            <w:gridSpan w:val="11"/>
          </w:tcPr>
          <w:p w:rsidR="00F570A5" w:rsidRPr="00BE2BCF" w:rsidRDefault="00F570A5" w:rsidP="009D1B44">
            <w:pPr>
              <w:jc w:val="both"/>
              <w:rPr>
                <w:rFonts w:eastAsia="Calibri"/>
              </w:rPr>
            </w:pPr>
            <w:r w:rsidRPr="00BE2BCF">
              <w:rPr>
                <w:rFonts w:eastAsia="Calibri"/>
              </w:rPr>
              <w:t xml:space="preserve">2. </w:t>
            </w:r>
            <w:r w:rsidR="006234DD">
              <w:t>Esas Yasa, 95</w:t>
            </w:r>
            <w:r w:rsidRPr="00F43F69">
              <w:t>’</w:t>
            </w:r>
            <w:r w:rsidR="006234DD">
              <w:t>i</w:t>
            </w:r>
            <w:r w:rsidRPr="00F43F69">
              <w:t>nc</w:t>
            </w:r>
            <w:r>
              <w:t>i</w:t>
            </w:r>
            <w:r w:rsidR="006234DD">
              <w:t xml:space="preserve"> maddesi kaldırılmak ve yerine aşağıdaki yeni 95’inci madd</w:t>
            </w:r>
            <w:r w:rsidR="009D1B44">
              <w:t>e</w:t>
            </w:r>
            <w:r w:rsidR="006234DD">
              <w:t xml:space="preserve"> konmak suretiyle değiştirilir:</w:t>
            </w:r>
          </w:p>
        </w:tc>
      </w:tr>
      <w:tr w:rsidR="00F570A5" w:rsidRPr="00F43F69" w:rsidTr="009610FD">
        <w:tc>
          <w:tcPr>
            <w:tcW w:w="1818" w:type="dxa"/>
            <w:gridSpan w:val="2"/>
          </w:tcPr>
          <w:p w:rsidR="00F570A5" w:rsidRPr="00F43F69" w:rsidRDefault="006234DD" w:rsidP="006234DD">
            <w:r w:rsidRPr="00F43F69">
              <w:t xml:space="preserve">Maddesinin </w:t>
            </w:r>
          </w:p>
        </w:tc>
        <w:tc>
          <w:tcPr>
            <w:tcW w:w="7472" w:type="dxa"/>
            <w:gridSpan w:val="11"/>
          </w:tcPr>
          <w:p w:rsidR="00F570A5" w:rsidRPr="00BE2BCF" w:rsidRDefault="00F570A5" w:rsidP="00610C82">
            <w:pPr>
              <w:jc w:val="both"/>
              <w:rPr>
                <w:rFonts w:eastAsia="Calibri"/>
              </w:rPr>
            </w:pPr>
          </w:p>
        </w:tc>
      </w:tr>
      <w:tr w:rsidR="009D1B44" w:rsidRPr="00F43F69" w:rsidTr="009D1B44">
        <w:tc>
          <w:tcPr>
            <w:tcW w:w="1818" w:type="dxa"/>
            <w:gridSpan w:val="2"/>
          </w:tcPr>
          <w:p w:rsidR="009D1B44" w:rsidRPr="00F43F69" w:rsidRDefault="009D1B44" w:rsidP="00610C82">
            <w:pPr>
              <w:jc w:val="both"/>
            </w:pPr>
            <w:r w:rsidRPr="00F43F69">
              <w:t>Değiştirilmesi</w:t>
            </w:r>
          </w:p>
        </w:tc>
        <w:tc>
          <w:tcPr>
            <w:tcW w:w="417" w:type="dxa"/>
            <w:gridSpan w:val="2"/>
          </w:tcPr>
          <w:p w:rsidR="009D1B44" w:rsidRPr="00BE2BCF" w:rsidRDefault="009D1B44" w:rsidP="009A6167">
            <w:pPr>
              <w:rPr>
                <w:rFonts w:eastAsia="Calibri"/>
              </w:rPr>
            </w:pPr>
          </w:p>
        </w:tc>
        <w:tc>
          <w:tcPr>
            <w:tcW w:w="1417" w:type="dxa"/>
            <w:gridSpan w:val="5"/>
          </w:tcPr>
          <w:p w:rsidR="009D1B44" w:rsidRPr="00BE2BCF" w:rsidRDefault="009D1B44" w:rsidP="009A6167">
            <w:pPr>
              <w:rPr>
                <w:rFonts w:eastAsia="Calibri"/>
              </w:rPr>
            </w:pPr>
            <w:r w:rsidRPr="009D1B44">
              <w:rPr>
                <w:rFonts w:eastAsia="Calibri"/>
              </w:rPr>
              <w:t>“Ticari Elektronik İleti ve Talep Edilmeyen Haberleşme</w:t>
            </w:r>
            <w:r w:rsidRPr="009D1B44">
              <w:rPr>
                <w:rFonts w:eastAsia="Calibri"/>
              </w:rPr>
              <w:tab/>
            </w:r>
          </w:p>
        </w:tc>
        <w:tc>
          <w:tcPr>
            <w:tcW w:w="540" w:type="dxa"/>
          </w:tcPr>
          <w:p w:rsidR="009D1B44" w:rsidRPr="00BE2BCF" w:rsidRDefault="009D1B44" w:rsidP="00610C82">
            <w:pPr>
              <w:jc w:val="both"/>
              <w:rPr>
                <w:rFonts w:eastAsia="Calibri"/>
              </w:rPr>
            </w:pPr>
            <w:r>
              <w:rPr>
                <w:rFonts w:eastAsia="Calibri"/>
              </w:rPr>
              <w:t>95.</w:t>
            </w:r>
          </w:p>
        </w:tc>
        <w:tc>
          <w:tcPr>
            <w:tcW w:w="594" w:type="dxa"/>
          </w:tcPr>
          <w:p w:rsidR="009D1B44" w:rsidRPr="00BE2BCF" w:rsidRDefault="009D1B44" w:rsidP="00610C82">
            <w:pPr>
              <w:jc w:val="both"/>
              <w:rPr>
                <w:rFonts w:eastAsia="Calibri"/>
              </w:rPr>
            </w:pPr>
            <w:r>
              <w:rPr>
                <w:rFonts w:eastAsia="Calibri"/>
              </w:rPr>
              <w:t>(1)</w:t>
            </w:r>
          </w:p>
        </w:tc>
        <w:tc>
          <w:tcPr>
            <w:tcW w:w="567" w:type="dxa"/>
          </w:tcPr>
          <w:p w:rsidR="009D1B44" w:rsidRPr="00BE2BCF" w:rsidRDefault="009D1B44" w:rsidP="00610C82">
            <w:pPr>
              <w:jc w:val="both"/>
              <w:rPr>
                <w:rFonts w:eastAsia="Calibri"/>
              </w:rPr>
            </w:pPr>
            <w:r>
              <w:rPr>
                <w:rFonts w:eastAsia="Calibri"/>
              </w:rPr>
              <w:t>(A)</w:t>
            </w:r>
          </w:p>
        </w:tc>
        <w:tc>
          <w:tcPr>
            <w:tcW w:w="3937" w:type="dxa"/>
          </w:tcPr>
          <w:p w:rsidR="009D1B44" w:rsidRPr="00BE2BCF" w:rsidRDefault="009D1B44" w:rsidP="009A6167">
            <w:pPr>
              <w:jc w:val="both"/>
              <w:rPr>
                <w:rFonts w:eastAsia="Calibri"/>
              </w:rPr>
            </w:pPr>
            <w:r>
              <w:rPr>
                <w:rFonts w:eastAsia="Calibri"/>
              </w:rPr>
              <w:t xml:space="preserve">Ticari elektronik iletiler, alıcılara ancak önceden onayları alınmak kaydıyla gönderilebilir. Bu onay, yazılı olarak veya her türlü elektronik iletişim araçlarıyla alınabilir. Kendisi ile iletişime geçilmesi amacıyla alıcının iletişim bilgilerini vermesi halinde, temin edilen mal veya hizmetlere ilişkin değişiklik, kullanım ve bakıma yönelik ticari elektronik iletiler için ayrıca onay alınmaz. </w:t>
            </w:r>
          </w:p>
        </w:tc>
      </w:tr>
      <w:tr w:rsidR="00175EB4" w:rsidRPr="00F43F69" w:rsidTr="009D1B44">
        <w:tc>
          <w:tcPr>
            <w:tcW w:w="1818" w:type="dxa"/>
            <w:gridSpan w:val="2"/>
          </w:tcPr>
          <w:p w:rsidR="00175EB4" w:rsidRPr="00F43F69" w:rsidRDefault="00175EB4" w:rsidP="00610C82">
            <w:pPr>
              <w:jc w:val="both"/>
            </w:pPr>
          </w:p>
        </w:tc>
        <w:tc>
          <w:tcPr>
            <w:tcW w:w="417" w:type="dxa"/>
            <w:gridSpan w:val="2"/>
          </w:tcPr>
          <w:p w:rsidR="00175EB4" w:rsidRDefault="00175EB4" w:rsidP="00610C82">
            <w:pPr>
              <w:jc w:val="both"/>
              <w:rPr>
                <w:rFonts w:eastAsia="Calibri"/>
              </w:rPr>
            </w:pPr>
          </w:p>
        </w:tc>
        <w:tc>
          <w:tcPr>
            <w:tcW w:w="1957" w:type="dxa"/>
            <w:gridSpan w:val="6"/>
          </w:tcPr>
          <w:p w:rsidR="00175EB4" w:rsidRDefault="00175EB4" w:rsidP="00610C82">
            <w:pPr>
              <w:jc w:val="both"/>
              <w:rPr>
                <w:rFonts w:eastAsia="Calibri"/>
              </w:rPr>
            </w:pPr>
          </w:p>
        </w:tc>
        <w:tc>
          <w:tcPr>
            <w:tcW w:w="594" w:type="dxa"/>
          </w:tcPr>
          <w:p w:rsidR="00175EB4" w:rsidRDefault="00175EB4" w:rsidP="00610C82">
            <w:pPr>
              <w:jc w:val="both"/>
              <w:rPr>
                <w:rFonts w:eastAsia="Calibri"/>
              </w:rPr>
            </w:pPr>
          </w:p>
        </w:tc>
        <w:tc>
          <w:tcPr>
            <w:tcW w:w="567" w:type="dxa"/>
          </w:tcPr>
          <w:p w:rsidR="00175EB4" w:rsidRDefault="00175EB4" w:rsidP="00610C82">
            <w:pPr>
              <w:jc w:val="both"/>
              <w:rPr>
                <w:rFonts w:eastAsia="Calibri"/>
              </w:rPr>
            </w:pPr>
            <w:r>
              <w:rPr>
                <w:rFonts w:eastAsia="Calibri"/>
              </w:rPr>
              <w:t>(B)</w:t>
            </w:r>
          </w:p>
        </w:tc>
        <w:tc>
          <w:tcPr>
            <w:tcW w:w="3937" w:type="dxa"/>
          </w:tcPr>
          <w:p w:rsidR="00175EB4" w:rsidRDefault="00175EB4" w:rsidP="00610C82">
            <w:pPr>
              <w:jc w:val="both"/>
              <w:rPr>
                <w:rFonts w:eastAsia="Calibri"/>
              </w:rPr>
            </w:pPr>
            <w:r>
              <w:rPr>
                <w:color w:val="000000"/>
              </w:rPr>
              <w:t>Abone</w:t>
            </w:r>
            <w:r w:rsidR="009D1B44">
              <w:rPr>
                <w:color w:val="000000"/>
              </w:rPr>
              <w:t>,</w:t>
            </w:r>
            <w:r>
              <w:rPr>
                <w:color w:val="000000"/>
              </w:rPr>
              <w:t xml:space="preserve"> bu madde uyarınca vermiş olduğu izni kolayca ve ücretsiz olarak iptal edebilir. Bu amaçla izin verilen gerçek veya tüzel kişi verilen iznin her zaman iptal edilebileceğini ve iptal yöntemini göndereceği her mesajında belirtmekle yükümlüdür.</w:t>
            </w:r>
          </w:p>
        </w:tc>
      </w:tr>
      <w:tr w:rsidR="00175EB4" w:rsidRPr="00F43F69" w:rsidTr="009D1B44">
        <w:tc>
          <w:tcPr>
            <w:tcW w:w="1818" w:type="dxa"/>
            <w:gridSpan w:val="2"/>
          </w:tcPr>
          <w:p w:rsidR="00175EB4" w:rsidRPr="00F43F69" w:rsidRDefault="00175EB4" w:rsidP="00610C82">
            <w:pPr>
              <w:jc w:val="both"/>
            </w:pPr>
          </w:p>
        </w:tc>
        <w:tc>
          <w:tcPr>
            <w:tcW w:w="417" w:type="dxa"/>
            <w:gridSpan w:val="2"/>
          </w:tcPr>
          <w:p w:rsidR="00175EB4" w:rsidRDefault="00175EB4" w:rsidP="00610C82">
            <w:pPr>
              <w:jc w:val="both"/>
              <w:rPr>
                <w:rFonts w:eastAsia="Calibri"/>
              </w:rPr>
            </w:pPr>
          </w:p>
        </w:tc>
        <w:tc>
          <w:tcPr>
            <w:tcW w:w="1957" w:type="dxa"/>
            <w:gridSpan w:val="6"/>
          </w:tcPr>
          <w:p w:rsidR="00175EB4" w:rsidRDefault="00175EB4" w:rsidP="00610C82">
            <w:pPr>
              <w:jc w:val="both"/>
              <w:rPr>
                <w:rFonts w:eastAsia="Calibri"/>
              </w:rPr>
            </w:pPr>
          </w:p>
        </w:tc>
        <w:tc>
          <w:tcPr>
            <w:tcW w:w="594" w:type="dxa"/>
          </w:tcPr>
          <w:p w:rsidR="00175EB4" w:rsidRDefault="00175EB4" w:rsidP="00610C82">
            <w:pPr>
              <w:jc w:val="both"/>
              <w:rPr>
                <w:rFonts w:eastAsia="Calibri"/>
              </w:rPr>
            </w:pPr>
            <w:r>
              <w:rPr>
                <w:rFonts w:eastAsia="Calibri"/>
              </w:rPr>
              <w:t>(2)</w:t>
            </w:r>
          </w:p>
        </w:tc>
        <w:tc>
          <w:tcPr>
            <w:tcW w:w="4504" w:type="dxa"/>
            <w:gridSpan w:val="2"/>
          </w:tcPr>
          <w:p w:rsidR="00175EB4" w:rsidRDefault="00175EB4" w:rsidP="00610C82">
            <w:pPr>
              <w:jc w:val="both"/>
              <w:rPr>
                <w:color w:val="000000"/>
              </w:rPr>
            </w:pPr>
            <w:r>
              <w:rPr>
                <w:color w:val="000000"/>
              </w:rPr>
              <w:t>Yukarıdaki (1)’inci fıkra kuralları hiçbir kimseye, ticari elektronik iletileri ticari amaç dışında kullanma yetkisi vermez. Bu iletilerde kişisel verilerin ve özel hayatın gizliliğni veya kişilerin onur veya haysiyetini ihlal edecek içerik kullanılması yasaktır.</w:t>
            </w:r>
          </w:p>
        </w:tc>
      </w:tr>
      <w:tr w:rsidR="00175EB4" w:rsidRPr="00F43F69" w:rsidTr="009D1B44">
        <w:tc>
          <w:tcPr>
            <w:tcW w:w="1818" w:type="dxa"/>
            <w:gridSpan w:val="2"/>
          </w:tcPr>
          <w:p w:rsidR="00175EB4" w:rsidRPr="00F43F69" w:rsidRDefault="009610FD" w:rsidP="00610C82">
            <w:pPr>
              <w:jc w:val="both"/>
            </w:pPr>
            <w:r>
              <w:lastRenderedPageBreak/>
              <w:br w:type="page"/>
            </w:r>
          </w:p>
        </w:tc>
        <w:tc>
          <w:tcPr>
            <w:tcW w:w="417" w:type="dxa"/>
            <w:gridSpan w:val="2"/>
          </w:tcPr>
          <w:p w:rsidR="00175EB4" w:rsidRDefault="00175EB4" w:rsidP="00610C82">
            <w:pPr>
              <w:jc w:val="both"/>
              <w:rPr>
                <w:rFonts w:eastAsia="Calibri"/>
              </w:rPr>
            </w:pPr>
          </w:p>
        </w:tc>
        <w:tc>
          <w:tcPr>
            <w:tcW w:w="1957" w:type="dxa"/>
            <w:gridSpan w:val="6"/>
          </w:tcPr>
          <w:p w:rsidR="00175EB4" w:rsidRDefault="00175EB4" w:rsidP="00610C82">
            <w:pPr>
              <w:jc w:val="both"/>
              <w:rPr>
                <w:rFonts w:eastAsia="Calibri"/>
              </w:rPr>
            </w:pPr>
          </w:p>
        </w:tc>
        <w:tc>
          <w:tcPr>
            <w:tcW w:w="594" w:type="dxa"/>
          </w:tcPr>
          <w:p w:rsidR="00175EB4" w:rsidRDefault="00175EB4" w:rsidP="00610C82">
            <w:pPr>
              <w:jc w:val="both"/>
              <w:rPr>
                <w:rFonts w:eastAsia="Calibri"/>
              </w:rPr>
            </w:pPr>
            <w:r>
              <w:rPr>
                <w:rFonts w:eastAsia="Calibri"/>
              </w:rPr>
              <w:t>(3)</w:t>
            </w:r>
          </w:p>
        </w:tc>
        <w:tc>
          <w:tcPr>
            <w:tcW w:w="4504" w:type="dxa"/>
            <w:gridSpan w:val="2"/>
          </w:tcPr>
          <w:p w:rsidR="00175EB4" w:rsidRDefault="00175EB4" w:rsidP="00BA1EED">
            <w:pPr>
              <w:jc w:val="both"/>
              <w:rPr>
                <w:color w:val="000000"/>
              </w:rPr>
            </w:pPr>
            <w:r>
              <w:rPr>
                <w:color w:val="000000"/>
              </w:rPr>
              <w:t>Talep edilmeyen haberleşmeye ilişkin usul ve esaslar</w:t>
            </w:r>
            <w:r w:rsidR="009D1B44">
              <w:rPr>
                <w:color w:val="000000"/>
              </w:rPr>
              <w:t>,</w:t>
            </w:r>
            <w:r w:rsidR="009D5D76">
              <w:rPr>
                <w:color w:val="000000"/>
              </w:rPr>
              <w:t xml:space="preserve"> Kurumca hazırlanıp</w:t>
            </w:r>
            <w:r>
              <w:rPr>
                <w:color w:val="000000"/>
              </w:rPr>
              <w:t xml:space="preserve"> Bakanlık</w:t>
            </w:r>
            <w:r w:rsidR="009D1B44">
              <w:rPr>
                <w:color w:val="000000"/>
              </w:rPr>
              <w:t xml:space="preserve"> tarafından </w:t>
            </w:r>
            <w:r>
              <w:rPr>
                <w:color w:val="000000"/>
              </w:rPr>
              <w:t>sunulacak</w:t>
            </w:r>
            <w:r w:rsidR="009D1B44">
              <w:rPr>
                <w:color w:val="000000"/>
              </w:rPr>
              <w:t xml:space="preserve">, </w:t>
            </w:r>
            <w:r>
              <w:rPr>
                <w:color w:val="000000"/>
              </w:rPr>
              <w:t>Bakanlar Kurulunca onaylana</w:t>
            </w:r>
            <w:r w:rsidR="009D1B44">
              <w:rPr>
                <w:color w:val="000000"/>
              </w:rPr>
              <w:t xml:space="preserve">cak ve </w:t>
            </w:r>
            <w:r w:rsidRPr="00BA1EED">
              <w:rPr>
                <w:color w:val="000000"/>
              </w:rPr>
              <w:t>Resmi Gazete’de yayı</w:t>
            </w:r>
            <w:r w:rsidR="00BA1EED" w:rsidRPr="00BA1EED">
              <w:rPr>
                <w:color w:val="000000"/>
              </w:rPr>
              <w:t>m</w:t>
            </w:r>
            <w:r w:rsidRPr="00BA1EED">
              <w:rPr>
                <w:color w:val="000000"/>
              </w:rPr>
              <w:t>lanacak tüzükle belirlenir.</w:t>
            </w:r>
          </w:p>
        </w:tc>
      </w:tr>
      <w:tr w:rsidR="009A6167" w:rsidRPr="00F43F69" w:rsidTr="009D1B44">
        <w:tc>
          <w:tcPr>
            <w:tcW w:w="1818" w:type="dxa"/>
            <w:gridSpan w:val="2"/>
          </w:tcPr>
          <w:p w:rsidR="009A6167" w:rsidRPr="00F43F69" w:rsidRDefault="009A6167" w:rsidP="00610C82">
            <w:pPr>
              <w:jc w:val="both"/>
            </w:pPr>
          </w:p>
        </w:tc>
        <w:tc>
          <w:tcPr>
            <w:tcW w:w="417" w:type="dxa"/>
            <w:gridSpan w:val="2"/>
          </w:tcPr>
          <w:p w:rsidR="009A6167" w:rsidRDefault="009A6167" w:rsidP="00610C82">
            <w:pPr>
              <w:jc w:val="both"/>
              <w:rPr>
                <w:rFonts w:eastAsia="Calibri"/>
              </w:rPr>
            </w:pPr>
          </w:p>
        </w:tc>
        <w:tc>
          <w:tcPr>
            <w:tcW w:w="1957" w:type="dxa"/>
            <w:gridSpan w:val="6"/>
          </w:tcPr>
          <w:p w:rsidR="009A6167" w:rsidRDefault="009A6167" w:rsidP="00610C82">
            <w:pPr>
              <w:jc w:val="both"/>
              <w:rPr>
                <w:rFonts w:eastAsia="Calibri"/>
              </w:rPr>
            </w:pPr>
          </w:p>
        </w:tc>
        <w:tc>
          <w:tcPr>
            <w:tcW w:w="594" w:type="dxa"/>
          </w:tcPr>
          <w:p w:rsidR="009A6167" w:rsidRDefault="009A6167" w:rsidP="00610C82">
            <w:pPr>
              <w:jc w:val="both"/>
              <w:rPr>
                <w:rFonts w:eastAsia="Calibri"/>
              </w:rPr>
            </w:pPr>
            <w:r>
              <w:rPr>
                <w:rFonts w:eastAsia="Calibri"/>
              </w:rPr>
              <w:t>(4)</w:t>
            </w:r>
          </w:p>
        </w:tc>
        <w:tc>
          <w:tcPr>
            <w:tcW w:w="4504" w:type="dxa"/>
            <w:gridSpan w:val="2"/>
          </w:tcPr>
          <w:p w:rsidR="009A6167" w:rsidRDefault="009A6167" w:rsidP="00BA1EED">
            <w:pPr>
              <w:jc w:val="both"/>
              <w:rPr>
                <w:color w:val="000000"/>
              </w:rPr>
            </w:pPr>
            <w:r>
              <w:rPr>
                <w:rFonts w:eastAsia="Calibri"/>
              </w:rPr>
              <w:t xml:space="preserve">Bu madde </w:t>
            </w:r>
            <w:r w:rsidR="00BA1EED">
              <w:rPr>
                <w:rFonts w:eastAsia="Calibri"/>
              </w:rPr>
              <w:t>amaçlar</w:t>
            </w:r>
            <w:r>
              <w:rPr>
                <w:rFonts w:eastAsia="Calibri"/>
              </w:rPr>
              <w:t>ı bakımından ticari elektronik ileti, telefon, çağrı merkezleri, faks, otomatik arama makineleri, akıllı ses kaydedici sistemler, elektronik posta, kısa mesaj hizmeti gibi vasıtalar kullanılarak elektronik ortamda gerçekleştirilen ve ticari amaçlarla gönderilen veri, ses ve görüntü içerikli iletileri ve içeriği ticari olsun veya olmasın ticari iş yapan gerçek veya tüzel kişilerce gönderilen toplu iletileri kapsar.</w:t>
            </w:r>
            <w:r w:rsidR="00BA1EED">
              <w:rPr>
                <w:rFonts w:eastAsia="Calibri"/>
              </w:rPr>
              <w:t>”</w:t>
            </w:r>
          </w:p>
        </w:tc>
      </w:tr>
      <w:tr w:rsidR="009610FD" w:rsidRPr="00F43F69" w:rsidTr="009D1B44">
        <w:tc>
          <w:tcPr>
            <w:tcW w:w="1818" w:type="dxa"/>
            <w:gridSpan w:val="2"/>
          </w:tcPr>
          <w:p w:rsidR="009610FD" w:rsidRPr="00F43F69" w:rsidRDefault="009610FD" w:rsidP="00610C82">
            <w:pPr>
              <w:jc w:val="both"/>
            </w:pPr>
          </w:p>
        </w:tc>
        <w:tc>
          <w:tcPr>
            <w:tcW w:w="417" w:type="dxa"/>
            <w:gridSpan w:val="2"/>
          </w:tcPr>
          <w:p w:rsidR="009610FD" w:rsidRDefault="009610FD" w:rsidP="00610C82">
            <w:pPr>
              <w:jc w:val="both"/>
              <w:rPr>
                <w:rFonts w:eastAsia="Calibri"/>
              </w:rPr>
            </w:pPr>
          </w:p>
        </w:tc>
        <w:tc>
          <w:tcPr>
            <w:tcW w:w="1957" w:type="dxa"/>
            <w:gridSpan w:val="6"/>
          </w:tcPr>
          <w:p w:rsidR="009610FD" w:rsidRDefault="009610FD" w:rsidP="00610C82">
            <w:pPr>
              <w:jc w:val="both"/>
              <w:rPr>
                <w:rFonts w:eastAsia="Calibri"/>
              </w:rPr>
            </w:pPr>
          </w:p>
        </w:tc>
        <w:tc>
          <w:tcPr>
            <w:tcW w:w="594" w:type="dxa"/>
          </w:tcPr>
          <w:p w:rsidR="009610FD" w:rsidRDefault="009610FD" w:rsidP="00610C82">
            <w:pPr>
              <w:jc w:val="both"/>
              <w:rPr>
                <w:rFonts w:eastAsia="Calibri"/>
              </w:rPr>
            </w:pPr>
          </w:p>
        </w:tc>
        <w:tc>
          <w:tcPr>
            <w:tcW w:w="4504" w:type="dxa"/>
            <w:gridSpan w:val="2"/>
          </w:tcPr>
          <w:p w:rsidR="009610FD" w:rsidRDefault="009610FD" w:rsidP="00610C82">
            <w:pPr>
              <w:jc w:val="both"/>
              <w:rPr>
                <w:color w:val="000000"/>
              </w:rPr>
            </w:pPr>
          </w:p>
        </w:tc>
      </w:tr>
      <w:tr w:rsidR="003604D5" w:rsidRPr="00F43F69" w:rsidTr="00170CD0">
        <w:tc>
          <w:tcPr>
            <w:tcW w:w="1818" w:type="dxa"/>
            <w:gridSpan w:val="2"/>
          </w:tcPr>
          <w:p w:rsidR="003604D5" w:rsidRPr="00F43F69" w:rsidRDefault="003604D5" w:rsidP="005535D0">
            <w:r w:rsidRPr="00F43F69">
              <w:t>Esas</w:t>
            </w:r>
            <w:r>
              <w:t xml:space="preserve"> Yasanın 99</w:t>
            </w:r>
            <w:r w:rsidRPr="00F43F69">
              <w:t>’</w:t>
            </w:r>
            <w:r>
              <w:t>uncu Maddesinin Değiştirilmesi</w:t>
            </w:r>
          </w:p>
        </w:tc>
        <w:tc>
          <w:tcPr>
            <w:tcW w:w="7472" w:type="dxa"/>
            <w:gridSpan w:val="11"/>
          </w:tcPr>
          <w:p w:rsidR="003604D5" w:rsidRDefault="003604D5" w:rsidP="003604D5">
            <w:pPr>
              <w:jc w:val="both"/>
              <w:rPr>
                <w:color w:val="000000"/>
              </w:rPr>
            </w:pPr>
            <w:r>
              <w:rPr>
                <w:rFonts w:eastAsia="Calibri"/>
              </w:rPr>
              <w:t>3</w:t>
            </w:r>
            <w:r w:rsidRPr="00BE2BCF">
              <w:rPr>
                <w:rFonts w:eastAsia="Calibri"/>
              </w:rPr>
              <w:t xml:space="preserve">. </w:t>
            </w:r>
            <w:r>
              <w:t>Esas Yasa, 99</w:t>
            </w:r>
            <w:r w:rsidRPr="00F43F69">
              <w:t>’</w:t>
            </w:r>
            <w:r>
              <w:t>u</w:t>
            </w:r>
            <w:r w:rsidRPr="00F43F69">
              <w:t>nc</w:t>
            </w:r>
            <w:r>
              <w:t>u maddesinin (2)’nci fıkrasının (D) bendinin (h) alt bendi kaldırılmak ve yerine aşağıdaki yeni (h) alt bendi konmak suretiyle değiştirilir:</w:t>
            </w:r>
          </w:p>
        </w:tc>
      </w:tr>
      <w:tr w:rsidR="002E2D2D" w:rsidRPr="00F43F69" w:rsidTr="002E2D2D">
        <w:tc>
          <w:tcPr>
            <w:tcW w:w="1818" w:type="dxa"/>
            <w:gridSpan w:val="2"/>
          </w:tcPr>
          <w:p w:rsidR="002E2D2D" w:rsidRPr="00F43F69" w:rsidRDefault="002E2D2D" w:rsidP="00610C82">
            <w:pPr>
              <w:jc w:val="both"/>
            </w:pPr>
          </w:p>
        </w:tc>
        <w:tc>
          <w:tcPr>
            <w:tcW w:w="558" w:type="dxa"/>
            <w:gridSpan w:val="4"/>
          </w:tcPr>
          <w:p w:rsidR="002E2D2D" w:rsidRDefault="002E2D2D" w:rsidP="003604D5">
            <w:pPr>
              <w:jc w:val="both"/>
              <w:rPr>
                <w:rFonts w:eastAsia="Calibri"/>
              </w:rPr>
            </w:pPr>
          </w:p>
        </w:tc>
        <w:tc>
          <w:tcPr>
            <w:tcW w:w="851" w:type="dxa"/>
            <w:gridSpan w:val="2"/>
          </w:tcPr>
          <w:p w:rsidR="002E2D2D" w:rsidRDefault="002E2D2D" w:rsidP="003604D5">
            <w:pPr>
              <w:jc w:val="both"/>
              <w:rPr>
                <w:rFonts w:eastAsia="Calibri"/>
              </w:rPr>
            </w:pPr>
            <w:r w:rsidRPr="002E2D2D">
              <w:rPr>
                <w:rFonts w:eastAsia="Calibri"/>
              </w:rPr>
              <w:t>“(h)</w:t>
            </w:r>
            <w:r w:rsidRPr="002E2D2D">
              <w:rPr>
                <w:rFonts w:eastAsia="Calibri"/>
              </w:rPr>
              <w:tab/>
            </w:r>
          </w:p>
        </w:tc>
        <w:tc>
          <w:tcPr>
            <w:tcW w:w="6063" w:type="dxa"/>
            <w:gridSpan w:val="5"/>
          </w:tcPr>
          <w:p w:rsidR="002E2D2D" w:rsidRDefault="002E2D2D" w:rsidP="003604D5">
            <w:pPr>
              <w:jc w:val="both"/>
              <w:rPr>
                <w:rFonts w:eastAsia="Calibri"/>
              </w:rPr>
            </w:pPr>
            <w:r>
              <w:rPr>
                <w:rFonts w:eastAsia="Calibri"/>
              </w:rPr>
              <w:t>95’inci maddenin (1)’inci fıkra kurallarını ve (3)’üncü fıkra uyarınca çıkarılar Tüzük kurallarını,”</w:t>
            </w:r>
          </w:p>
        </w:tc>
      </w:tr>
      <w:tr w:rsidR="003604D5" w:rsidRPr="00F43F69" w:rsidTr="002E2D2D">
        <w:tc>
          <w:tcPr>
            <w:tcW w:w="1818" w:type="dxa"/>
            <w:gridSpan w:val="2"/>
          </w:tcPr>
          <w:p w:rsidR="003604D5" w:rsidRPr="00F43F69" w:rsidRDefault="003604D5" w:rsidP="00610C82">
            <w:pPr>
              <w:jc w:val="both"/>
            </w:pPr>
          </w:p>
        </w:tc>
        <w:tc>
          <w:tcPr>
            <w:tcW w:w="1409" w:type="dxa"/>
            <w:gridSpan w:val="6"/>
          </w:tcPr>
          <w:p w:rsidR="003604D5" w:rsidRDefault="003604D5" w:rsidP="003604D5">
            <w:pPr>
              <w:jc w:val="both"/>
              <w:rPr>
                <w:rFonts w:eastAsia="Calibri"/>
              </w:rPr>
            </w:pPr>
          </w:p>
        </w:tc>
        <w:tc>
          <w:tcPr>
            <w:tcW w:w="6063" w:type="dxa"/>
            <w:gridSpan w:val="5"/>
          </w:tcPr>
          <w:p w:rsidR="003604D5" w:rsidRDefault="003604D5" w:rsidP="003604D5">
            <w:pPr>
              <w:jc w:val="both"/>
              <w:rPr>
                <w:rFonts w:eastAsia="Calibri"/>
              </w:rPr>
            </w:pPr>
          </w:p>
        </w:tc>
      </w:tr>
      <w:tr w:rsidR="003604D5" w:rsidRPr="00F43F69" w:rsidTr="00170CD0">
        <w:tc>
          <w:tcPr>
            <w:tcW w:w="1818" w:type="dxa"/>
            <w:gridSpan w:val="2"/>
          </w:tcPr>
          <w:p w:rsidR="003604D5" w:rsidRPr="00F43F69" w:rsidRDefault="003604D5" w:rsidP="00ED3B97">
            <w:r w:rsidRPr="00F43F69">
              <w:t>Esas</w:t>
            </w:r>
            <w:r w:rsidR="005535D0">
              <w:t xml:space="preserve"> </w:t>
            </w:r>
            <w:r>
              <w:t>Yasanın 102</w:t>
            </w:r>
            <w:r w:rsidRPr="00F43F69">
              <w:t>’</w:t>
            </w:r>
            <w:r>
              <w:t xml:space="preserve">nci Maddesinin </w:t>
            </w:r>
          </w:p>
        </w:tc>
        <w:tc>
          <w:tcPr>
            <w:tcW w:w="7472" w:type="dxa"/>
            <w:gridSpan w:val="11"/>
          </w:tcPr>
          <w:p w:rsidR="003604D5" w:rsidRDefault="003604D5" w:rsidP="004A1151">
            <w:pPr>
              <w:jc w:val="both"/>
              <w:rPr>
                <w:rFonts w:eastAsia="Calibri"/>
              </w:rPr>
            </w:pPr>
            <w:r>
              <w:rPr>
                <w:rFonts w:eastAsia="Calibri"/>
              </w:rPr>
              <w:t xml:space="preserve">4. </w:t>
            </w:r>
            <w:r w:rsidR="009610FD">
              <w:rPr>
                <w:rFonts w:eastAsia="Calibri"/>
              </w:rPr>
              <w:t xml:space="preserve">Esas Yasa, 102’nci maddesinin (9)’uncu fıkrasından hemen sonra </w:t>
            </w:r>
            <w:r w:rsidR="002E2D2D">
              <w:rPr>
                <w:rFonts w:eastAsia="Calibri"/>
              </w:rPr>
              <w:t xml:space="preserve">aşağıdaki </w:t>
            </w:r>
            <w:r w:rsidR="009610FD">
              <w:rPr>
                <w:rFonts w:eastAsia="Calibri"/>
              </w:rPr>
              <w:t xml:space="preserve">yeni (10)’uncu fıkra eklenmek ve </w:t>
            </w:r>
            <w:r w:rsidR="00036688">
              <w:rPr>
                <w:rFonts w:eastAsia="Calibri"/>
              </w:rPr>
              <w:t xml:space="preserve">ondan </w:t>
            </w:r>
            <w:r w:rsidR="00CA465A">
              <w:rPr>
                <w:rFonts w:eastAsia="Calibri"/>
              </w:rPr>
              <w:t>sonra</w:t>
            </w:r>
            <w:r w:rsidR="00036688">
              <w:rPr>
                <w:rFonts w:eastAsia="Calibri"/>
              </w:rPr>
              <w:t xml:space="preserve"> gelen</w:t>
            </w:r>
            <w:r w:rsidR="004A1151">
              <w:rPr>
                <w:rFonts w:eastAsia="Calibri"/>
              </w:rPr>
              <w:t xml:space="preserve"> fıkralar </w:t>
            </w:r>
            <w:r w:rsidR="00170CD0">
              <w:rPr>
                <w:rFonts w:eastAsia="Calibri"/>
              </w:rPr>
              <w:t>yeniden sayılandırılmak suretiyle değiştirilir:</w:t>
            </w:r>
          </w:p>
        </w:tc>
      </w:tr>
      <w:tr w:rsidR="00170CD0" w:rsidRPr="00F43F69" w:rsidTr="00170CD0">
        <w:tc>
          <w:tcPr>
            <w:tcW w:w="1818" w:type="dxa"/>
            <w:gridSpan w:val="2"/>
          </w:tcPr>
          <w:p w:rsidR="00170CD0" w:rsidRPr="00F43F69" w:rsidRDefault="00ED3B97" w:rsidP="00610C82">
            <w:pPr>
              <w:jc w:val="both"/>
            </w:pPr>
            <w:r w:rsidRPr="00ED3B97">
              <w:t>Değiştirilmesi</w:t>
            </w:r>
          </w:p>
        </w:tc>
        <w:tc>
          <w:tcPr>
            <w:tcW w:w="7472" w:type="dxa"/>
            <w:gridSpan w:val="11"/>
          </w:tcPr>
          <w:p w:rsidR="00170CD0" w:rsidRDefault="00170CD0" w:rsidP="009610FD">
            <w:pPr>
              <w:jc w:val="both"/>
              <w:rPr>
                <w:rFonts w:eastAsia="Calibri"/>
              </w:rPr>
            </w:pPr>
          </w:p>
        </w:tc>
      </w:tr>
      <w:tr w:rsidR="002E2D2D" w:rsidRPr="00F43F69" w:rsidTr="002E2D2D">
        <w:tc>
          <w:tcPr>
            <w:tcW w:w="1818" w:type="dxa"/>
            <w:gridSpan w:val="2"/>
          </w:tcPr>
          <w:p w:rsidR="002E2D2D" w:rsidRPr="00F43F69" w:rsidRDefault="002E2D2D" w:rsidP="00610C82">
            <w:pPr>
              <w:jc w:val="both"/>
            </w:pPr>
          </w:p>
        </w:tc>
        <w:tc>
          <w:tcPr>
            <w:tcW w:w="558" w:type="dxa"/>
            <w:gridSpan w:val="4"/>
          </w:tcPr>
          <w:p w:rsidR="002E2D2D" w:rsidRDefault="002E2D2D" w:rsidP="009610FD">
            <w:pPr>
              <w:jc w:val="both"/>
              <w:rPr>
                <w:rFonts w:eastAsia="Calibri"/>
              </w:rPr>
            </w:pPr>
          </w:p>
        </w:tc>
        <w:tc>
          <w:tcPr>
            <w:tcW w:w="851" w:type="dxa"/>
            <w:gridSpan w:val="2"/>
          </w:tcPr>
          <w:p w:rsidR="002E2D2D" w:rsidRDefault="002E2D2D" w:rsidP="009610FD">
            <w:pPr>
              <w:jc w:val="both"/>
              <w:rPr>
                <w:rFonts w:eastAsia="Calibri"/>
              </w:rPr>
            </w:pPr>
            <w:r w:rsidRPr="002E2D2D">
              <w:rPr>
                <w:rFonts w:eastAsia="Calibri"/>
              </w:rPr>
              <w:t>“(10)</w:t>
            </w:r>
            <w:r w:rsidRPr="002E2D2D">
              <w:rPr>
                <w:rFonts w:eastAsia="Calibri"/>
              </w:rPr>
              <w:tab/>
            </w:r>
          </w:p>
        </w:tc>
        <w:tc>
          <w:tcPr>
            <w:tcW w:w="6063" w:type="dxa"/>
            <w:gridSpan w:val="5"/>
          </w:tcPr>
          <w:p w:rsidR="002E2D2D" w:rsidRDefault="002E2D2D" w:rsidP="00BA1EED">
            <w:pPr>
              <w:jc w:val="both"/>
              <w:rPr>
                <w:rFonts w:eastAsia="Calibri"/>
              </w:rPr>
            </w:pPr>
            <w:r>
              <w:rPr>
                <w:rFonts w:eastAsia="Calibri"/>
              </w:rPr>
              <w:t>Bu Yasanın 95’inci maddesinin (2)’nci fıkra kurallarına aykırı hareket edenler bir suç işlemiş olurlar ve mahkumiyetleri halinde</w:t>
            </w:r>
            <w:r w:rsidR="00BA1EED">
              <w:rPr>
                <w:rFonts w:eastAsia="Calibri"/>
              </w:rPr>
              <w:t>,</w:t>
            </w:r>
            <w:r>
              <w:rPr>
                <w:rFonts w:eastAsia="Calibri"/>
              </w:rPr>
              <w:t xml:space="preserve"> aylık asgari ücretin iki katına kadar para cezasına ve</w:t>
            </w:r>
            <w:r w:rsidR="00DD2713">
              <w:rPr>
                <w:rFonts w:eastAsia="Calibri"/>
              </w:rPr>
              <w:t>ya</w:t>
            </w:r>
            <w:r>
              <w:rPr>
                <w:rFonts w:eastAsia="Calibri"/>
              </w:rPr>
              <w:t xml:space="preserve"> iki yıla kadar hapis cezasına veya her iki cezaya birden çarptırılabilirler</w:t>
            </w:r>
            <w:r w:rsidR="009D5D76">
              <w:rPr>
                <w:rFonts w:eastAsia="Calibri"/>
              </w:rPr>
              <w:t>.</w:t>
            </w:r>
            <w:r>
              <w:rPr>
                <w:rFonts w:eastAsia="Calibri"/>
              </w:rPr>
              <w:t>”</w:t>
            </w:r>
          </w:p>
        </w:tc>
      </w:tr>
      <w:tr w:rsidR="00F570A5" w:rsidRPr="00F43F69" w:rsidTr="00B220F9">
        <w:tc>
          <w:tcPr>
            <w:tcW w:w="1818" w:type="dxa"/>
            <w:gridSpan w:val="2"/>
          </w:tcPr>
          <w:p w:rsidR="00F570A5" w:rsidRPr="00F43F69" w:rsidRDefault="00F570A5" w:rsidP="00610C82">
            <w:pPr>
              <w:jc w:val="both"/>
            </w:pPr>
          </w:p>
        </w:tc>
        <w:tc>
          <w:tcPr>
            <w:tcW w:w="236" w:type="dxa"/>
          </w:tcPr>
          <w:p w:rsidR="00F570A5" w:rsidRDefault="00F570A5" w:rsidP="00610C82">
            <w:pPr>
              <w:jc w:val="both"/>
            </w:pPr>
          </w:p>
        </w:tc>
        <w:tc>
          <w:tcPr>
            <w:tcW w:w="708" w:type="dxa"/>
            <w:gridSpan w:val="4"/>
          </w:tcPr>
          <w:p w:rsidR="00F570A5" w:rsidRPr="00BE2BCF" w:rsidRDefault="00F570A5" w:rsidP="00610C82">
            <w:pPr>
              <w:jc w:val="both"/>
              <w:rPr>
                <w:rFonts w:eastAsia="Calibri"/>
              </w:rPr>
            </w:pPr>
          </w:p>
        </w:tc>
        <w:tc>
          <w:tcPr>
            <w:tcW w:w="6528" w:type="dxa"/>
            <w:gridSpan w:val="6"/>
          </w:tcPr>
          <w:p w:rsidR="00F570A5" w:rsidRPr="00BE2BCF" w:rsidRDefault="00F570A5" w:rsidP="00610C82">
            <w:pPr>
              <w:jc w:val="both"/>
              <w:rPr>
                <w:rFonts w:eastAsia="Calibri"/>
              </w:rPr>
            </w:pPr>
          </w:p>
        </w:tc>
      </w:tr>
      <w:tr w:rsidR="00F570A5" w:rsidRPr="00F43F69" w:rsidTr="00170CD0">
        <w:tc>
          <w:tcPr>
            <w:tcW w:w="1704" w:type="dxa"/>
          </w:tcPr>
          <w:p w:rsidR="00F570A5" w:rsidRPr="00F43F69" w:rsidRDefault="00F570A5" w:rsidP="00610C82">
            <w:r w:rsidRPr="00F43F69">
              <w:t>Yürürlüğe Giriş</w:t>
            </w:r>
          </w:p>
        </w:tc>
        <w:tc>
          <w:tcPr>
            <w:tcW w:w="7586" w:type="dxa"/>
            <w:gridSpan w:val="12"/>
          </w:tcPr>
          <w:p w:rsidR="00F570A5" w:rsidRPr="00F43F69" w:rsidRDefault="00170CD0" w:rsidP="00610C82">
            <w:pPr>
              <w:jc w:val="both"/>
            </w:pPr>
            <w:r>
              <w:t>5</w:t>
            </w:r>
            <w:r w:rsidR="00F570A5" w:rsidRPr="00F43F69">
              <w:t xml:space="preserve">. Bu Yasa, Resmi Gazete’de yayımlandığı tarihten başlayarak yürürlüğe girer. </w:t>
            </w:r>
          </w:p>
        </w:tc>
      </w:tr>
    </w:tbl>
    <w:p w:rsidR="00F570A5" w:rsidRPr="00F43F69" w:rsidRDefault="00F570A5" w:rsidP="00F570A5">
      <w:pPr>
        <w:jc w:val="both"/>
      </w:pPr>
    </w:p>
    <w:p w:rsidR="00230031" w:rsidRDefault="00230031"/>
    <w:sectPr w:rsidR="00230031" w:rsidSect="00610C82">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47" w:rsidRDefault="00247247">
      <w:r>
        <w:separator/>
      </w:r>
    </w:p>
  </w:endnote>
  <w:endnote w:type="continuationSeparator" w:id="0">
    <w:p w:rsidR="00247247" w:rsidRDefault="0024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FD" w:rsidRDefault="009610FD" w:rsidP="00610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0FD" w:rsidRDefault="00961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FD" w:rsidRDefault="009610FD" w:rsidP="00610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A96">
      <w:rPr>
        <w:rStyle w:val="PageNumber"/>
        <w:noProof/>
      </w:rPr>
      <w:t>2</w:t>
    </w:r>
    <w:r>
      <w:rPr>
        <w:rStyle w:val="PageNumber"/>
      </w:rPr>
      <w:fldChar w:fldCharType="end"/>
    </w:r>
  </w:p>
  <w:p w:rsidR="009610FD" w:rsidRDefault="00961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47" w:rsidRDefault="00247247">
      <w:r>
        <w:separator/>
      </w:r>
    </w:p>
  </w:footnote>
  <w:footnote w:type="continuationSeparator" w:id="0">
    <w:p w:rsidR="00247247" w:rsidRDefault="0024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A5"/>
    <w:rsid w:val="00036688"/>
    <w:rsid w:val="0007251C"/>
    <w:rsid w:val="000C46AF"/>
    <w:rsid w:val="00124755"/>
    <w:rsid w:val="00170CD0"/>
    <w:rsid w:val="00175EB4"/>
    <w:rsid w:val="00230031"/>
    <w:rsid w:val="00231411"/>
    <w:rsid w:val="00247247"/>
    <w:rsid w:val="002E2D2D"/>
    <w:rsid w:val="003604D5"/>
    <w:rsid w:val="003B60E2"/>
    <w:rsid w:val="004A1151"/>
    <w:rsid w:val="005535D0"/>
    <w:rsid w:val="00610C82"/>
    <w:rsid w:val="006234DD"/>
    <w:rsid w:val="00695CF0"/>
    <w:rsid w:val="006F7523"/>
    <w:rsid w:val="00773354"/>
    <w:rsid w:val="007F045F"/>
    <w:rsid w:val="008475DD"/>
    <w:rsid w:val="009610FD"/>
    <w:rsid w:val="009A6167"/>
    <w:rsid w:val="009D1B44"/>
    <w:rsid w:val="009D5D76"/>
    <w:rsid w:val="00A13A96"/>
    <w:rsid w:val="00B220F9"/>
    <w:rsid w:val="00BA1EED"/>
    <w:rsid w:val="00C521EB"/>
    <w:rsid w:val="00CA465A"/>
    <w:rsid w:val="00CB74CD"/>
    <w:rsid w:val="00DD2713"/>
    <w:rsid w:val="00E51592"/>
    <w:rsid w:val="00ED3B97"/>
    <w:rsid w:val="00F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A5"/>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0A5"/>
    <w:pPr>
      <w:tabs>
        <w:tab w:val="center" w:pos="4536"/>
        <w:tab w:val="right" w:pos="9072"/>
      </w:tabs>
    </w:pPr>
  </w:style>
  <w:style w:type="character" w:customStyle="1" w:styleId="FooterChar">
    <w:name w:val="Footer Char"/>
    <w:basedOn w:val="DefaultParagraphFont"/>
    <w:link w:val="Footer"/>
    <w:rsid w:val="00F570A5"/>
    <w:rPr>
      <w:rFonts w:ascii="Times New Roman" w:eastAsia="Times New Roman" w:hAnsi="Times New Roman" w:cs="Times New Roman"/>
      <w:sz w:val="24"/>
      <w:szCs w:val="24"/>
      <w:lang w:val="tr-TR" w:eastAsia="tr-TR"/>
    </w:rPr>
  </w:style>
  <w:style w:type="character" w:styleId="PageNumber">
    <w:name w:val="page number"/>
    <w:basedOn w:val="DefaultParagraphFont"/>
    <w:rsid w:val="00F57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A5"/>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0A5"/>
    <w:pPr>
      <w:tabs>
        <w:tab w:val="center" w:pos="4536"/>
        <w:tab w:val="right" w:pos="9072"/>
      </w:tabs>
    </w:pPr>
  </w:style>
  <w:style w:type="character" w:customStyle="1" w:styleId="FooterChar">
    <w:name w:val="Footer Char"/>
    <w:basedOn w:val="DefaultParagraphFont"/>
    <w:link w:val="Footer"/>
    <w:rsid w:val="00F570A5"/>
    <w:rPr>
      <w:rFonts w:ascii="Times New Roman" w:eastAsia="Times New Roman" w:hAnsi="Times New Roman" w:cs="Times New Roman"/>
      <w:sz w:val="24"/>
      <w:szCs w:val="24"/>
      <w:lang w:val="tr-TR" w:eastAsia="tr-TR"/>
    </w:rPr>
  </w:style>
  <w:style w:type="character" w:styleId="PageNumber">
    <w:name w:val="page number"/>
    <w:basedOn w:val="DefaultParagraphFont"/>
    <w:rsid w:val="00F5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Gündüz</dc:creator>
  <cp:lastModifiedBy>Pınar Gündüz</cp:lastModifiedBy>
  <cp:revision>4</cp:revision>
  <cp:lastPrinted>2019-04-02T07:25:00Z</cp:lastPrinted>
  <dcterms:created xsi:type="dcterms:W3CDTF">2019-05-17T05:36:00Z</dcterms:created>
  <dcterms:modified xsi:type="dcterms:W3CDTF">2019-05-17T10:19:00Z</dcterms:modified>
</cp:coreProperties>
</file>