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61" w:rsidRPr="004B63F7" w:rsidRDefault="001B7661" w:rsidP="001B76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4B63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Kuzey Kıbrıs Türk Cumhuriyeti Cumhuriyet Meclisi’nin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10</w:t>
      </w:r>
      <w:r w:rsidRPr="004B63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Aralık 2018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tarihli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Ondokuzuncu</w:t>
      </w:r>
      <w:proofErr w:type="spellEnd"/>
      <w:r w:rsidRPr="004B63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Birleşiminde Oy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çokluğuyla</w:t>
      </w:r>
      <w:r w:rsidRPr="004B63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kabul olunan “</w:t>
      </w:r>
      <w:r w:rsidRPr="003B5340">
        <w:rPr>
          <w:rFonts w:ascii="Times New Roman" w:hAnsi="Times New Roman" w:cs="Times New Roman"/>
          <w:sz w:val="24"/>
          <w:szCs w:val="24"/>
        </w:rPr>
        <w:t>Sivil Savu</w:t>
      </w:r>
      <w:r>
        <w:rPr>
          <w:rFonts w:ascii="Times New Roman" w:hAnsi="Times New Roman" w:cs="Times New Roman"/>
          <w:sz w:val="24"/>
          <w:szCs w:val="24"/>
        </w:rPr>
        <w:t>nma Teşkilatı Personel Yasasının</w:t>
      </w:r>
      <w:r w:rsidRPr="003B5340">
        <w:rPr>
          <w:rFonts w:ascii="Times New Roman" w:hAnsi="Times New Roman" w:cs="Times New Roman"/>
          <w:sz w:val="24"/>
          <w:szCs w:val="24"/>
        </w:rPr>
        <w:t xml:space="preserve"> Hayat Pahalılığı Ödeneği Hakkını Düzenleyen 24’üncü Maddesinin Uygulanmasının 3 Ay Süre </w:t>
      </w:r>
      <w:r>
        <w:rPr>
          <w:rFonts w:ascii="Times New Roman" w:hAnsi="Times New Roman" w:cs="Times New Roman"/>
          <w:sz w:val="24"/>
          <w:szCs w:val="24"/>
        </w:rPr>
        <w:t>İle Durdurulmasın</w:t>
      </w:r>
      <w:r w:rsidRPr="003B53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İlişkin</w:t>
      </w:r>
      <w:r w:rsidRPr="003B5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(Geçici Kurallar) Yasası</w:t>
      </w:r>
      <w:r w:rsidRPr="004B63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” Anayasanın 94’üncü maddesinin (1)’inci fıkrası gereğince Kuzey Kıbrıs Türk Cumhuriyeti Cumhurbaşkanı tarafından Resmi </w:t>
      </w:r>
      <w:proofErr w:type="spellStart"/>
      <w:r w:rsidRPr="004B63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Pr="004B63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yayımlanmak suretiyle ilan olunur.</w:t>
      </w:r>
      <w:proofErr w:type="gramEnd"/>
    </w:p>
    <w:p w:rsidR="001B7661" w:rsidRPr="004B63F7" w:rsidRDefault="001B7661" w:rsidP="001B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7661" w:rsidRPr="004B63F7" w:rsidRDefault="001B7661" w:rsidP="001B7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63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57</w:t>
      </w:r>
      <w:r w:rsidRPr="004B63F7">
        <w:rPr>
          <w:rFonts w:ascii="Times New Roman" w:eastAsia="Times New Roman" w:hAnsi="Times New Roman" w:cs="Times New Roman"/>
          <w:sz w:val="24"/>
          <w:szCs w:val="24"/>
          <w:lang w:eastAsia="tr-TR"/>
        </w:rPr>
        <w:t>/2018</w:t>
      </w:r>
    </w:p>
    <w:p w:rsidR="001B7661" w:rsidRDefault="001B7661" w:rsidP="00330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661" w:rsidRDefault="001B7661" w:rsidP="00330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340" w:rsidRPr="006E2FF7" w:rsidRDefault="003D1FFC" w:rsidP="00330B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2FF7">
        <w:rPr>
          <w:rFonts w:ascii="Times New Roman" w:hAnsi="Times New Roman" w:cs="Times New Roman"/>
          <w:sz w:val="24"/>
          <w:szCs w:val="24"/>
        </w:rPr>
        <w:t>SİVİL SAVUNMA TEŞKİLATI PERSONEL</w:t>
      </w:r>
      <w:r w:rsidRPr="006E2FF7">
        <w:rPr>
          <w:rFonts w:ascii="Times New Roman" w:hAnsi="Times New Roman" w:cs="Times New Roman"/>
          <w:bCs/>
          <w:sz w:val="24"/>
          <w:szCs w:val="24"/>
        </w:rPr>
        <w:t xml:space="preserve"> YASASININ HAYAT PAHALILIĞI ÖDENEĞİ HAKKINI DÜZENLEYEN 24’ÜNCÜ MADDESİNİN </w:t>
      </w:r>
      <w:proofErr w:type="gramStart"/>
      <w:r w:rsidRPr="006E2FF7">
        <w:rPr>
          <w:rFonts w:ascii="Times New Roman" w:hAnsi="Times New Roman" w:cs="Times New Roman"/>
          <w:bCs/>
          <w:sz w:val="24"/>
          <w:szCs w:val="24"/>
        </w:rPr>
        <w:t>UYGULANMASININ</w:t>
      </w:r>
      <w:r w:rsidR="00330B0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E2FF7">
        <w:rPr>
          <w:rFonts w:ascii="Times New Roman" w:hAnsi="Times New Roman" w:cs="Times New Roman"/>
          <w:bCs/>
          <w:sz w:val="24"/>
          <w:szCs w:val="24"/>
        </w:rPr>
        <w:t>3</w:t>
      </w:r>
      <w:proofErr w:type="gramEnd"/>
      <w:r w:rsidRPr="006E2FF7">
        <w:rPr>
          <w:rFonts w:ascii="Times New Roman" w:hAnsi="Times New Roman" w:cs="Times New Roman"/>
          <w:bCs/>
          <w:sz w:val="24"/>
          <w:szCs w:val="24"/>
        </w:rPr>
        <w:t xml:space="preserve"> AY SÜRE İLE DURDURULMASI</w:t>
      </w:r>
      <w:r w:rsidR="00CA30C3" w:rsidRPr="006E2FF7">
        <w:rPr>
          <w:rFonts w:ascii="Times New Roman" w:hAnsi="Times New Roman" w:cs="Times New Roman"/>
          <w:bCs/>
          <w:sz w:val="24"/>
          <w:szCs w:val="24"/>
        </w:rPr>
        <w:t>NA İLİŞKİN</w:t>
      </w:r>
      <w:r w:rsidRPr="006E2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340" w:rsidRPr="006E2FF7">
        <w:rPr>
          <w:rFonts w:ascii="Times New Roman" w:hAnsi="Times New Roman" w:cs="Times New Roman"/>
          <w:bCs/>
          <w:sz w:val="24"/>
          <w:szCs w:val="24"/>
        </w:rPr>
        <w:t>(GEÇİCİ KURALLAR) YASA</w:t>
      </w:r>
      <w:r w:rsidR="006E2FF7" w:rsidRPr="006E2FF7">
        <w:rPr>
          <w:rFonts w:ascii="Times New Roman" w:hAnsi="Times New Roman" w:cs="Times New Roman"/>
          <w:bCs/>
          <w:sz w:val="24"/>
          <w:szCs w:val="24"/>
        </w:rPr>
        <w:t>SI</w:t>
      </w:r>
      <w:r w:rsidR="003B5340" w:rsidRPr="006E2F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1FFC" w:rsidRDefault="003D1FFC" w:rsidP="006F1A96">
      <w:pPr>
        <w:tabs>
          <w:tab w:val="left" w:pos="1418"/>
          <w:tab w:val="left" w:pos="198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431"/>
        <w:gridCol w:w="6973"/>
      </w:tblGrid>
      <w:tr w:rsidR="00650F5D" w:rsidRPr="003B5340" w:rsidTr="00330B0C">
        <w:tc>
          <w:tcPr>
            <w:tcW w:w="1790" w:type="dxa"/>
          </w:tcPr>
          <w:p w:rsidR="00650F5D" w:rsidRPr="00695F2E" w:rsidRDefault="00650F5D" w:rsidP="003B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650F5D" w:rsidRPr="00695F2E" w:rsidRDefault="00650F5D" w:rsidP="0065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95F2E">
              <w:rPr>
                <w:rFonts w:ascii="Times New Roman" w:hAnsi="Times New Roman" w:cs="Times New Roman"/>
                <w:sz w:val="24"/>
                <w:szCs w:val="24"/>
              </w:rPr>
              <w:t xml:space="preserve"> Kuzey Kıbrıs Türk Cumhuriyeti Cumhuriyet Meclisi aşağıdaki Yasayı yapar:</w:t>
            </w:r>
          </w:p>
        </w:tc>
      </w:tr>
      <w:tr w:rsidR="00650F5D" w:rsidRPr="003B5340" w:rsidTr="00330B0C">
        <w:tc>
          <w:tcPr>
            <w:tcW w:w="1790" w:type="dxa"/>
          </w:tcPr>
          <w:p w:rsidR="00650F5D" w:rsidRPr="00695F2E" w:rsidRDefault="00650F5D" w:rsidP="003B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650F5D" w:rsidRDefault="00650F5D" w:rsidP="0065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5D" w:rsidRPr="003B5340" w:rsidTr="00330B0C">
        <w:tc>
          <w:tcPr>
            <w:tcW w:w="1790" w:type="dxa"/>
          </w:tcPr>
          <w:p w:rsidR="00650F5D" w:rsidRPr="003B5340" w:rsidRDefault="00650F5D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650F5D" w:rsidRPr="003B5340" w:rsidRDefault="00650F5D" w:rsidP="00216452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5D" w:rsidRPr="003B5340" w:rsidRDefault="00650F5D" w:rsidP="00216452">
            <w:pPr>
              <w:tabs>
                <w:tab w:val="left" w:pos="14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404" w:type="dxa"/>
            <w:gridSpan w:val="2"/>
          </w:tcPr>
          <w:p w:rsidR="00650F5D" w:rsidRPr="003B5340" w:rsidRDefault="00650F5D" w:rsidP="00CA3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Bu Yasa, Sivil Savu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nma Teşkilatı Personel Yasasının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 Hayat Pahalılığı Ödeneği Hakkını Düzenleyen 24’üncü Maddesinin Uygulanmasının 3 Ay Süre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CA30C3">
              <w:rPr>
                <w:rFonts w:ascii="Times New Roman" w:hAnsi="Times New Roman" w:cs="Times New Roman"/>
                <w:sz w:val="24"/>
                <w:szCs w:val="24"/>
              </w:rPr>
              <w:t>le Durdurulmasın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A30C3">
              <w:rPr>
                <w:rFonts w:ascii="Times New Roman" w:hAnsi="Times New Roman" w:cs="Times New Roman"/>
                <w:sz w:val="24"/>
                <w:szCs w:val="24"/>
              </w:rPr>
              <w:t xml:space="preserve"> İlişkin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(Geçici Kurallar) Yasası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 olarak isimlendirilir.</w:t>
            </w:r>
          </w:p>
        </w:tc>
      </w:tr>
      <w:tr w:rsidR="00650F5D" w:rsidRPr="003B5340" w:rsidTr="00330B0C">
        <w:tc>
          <w:tcPr>
            <w:tcW w:w="1790" w:type="dxa"/>
          </w:tcPr>
          <w:p w:rsidR="00650F5D" w:rsidRPr="003B5340" w:rsidRDefault="00650F5D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650F5D" w:rsidRPr="003B5340" w:rsidRDefault="00650F5D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5D" w:rsidRPr="003B5340" w:rsidTr="00330B0C">
        <w:tc>
          <w:tcPr>
            <w:tcW w:w="1790" w:type="dxa"/>
          </w:tcPr>
          <w:p w:rsidR="00650F5D" w:rsidRPr="003B5340" w:rsidRDefault="00650F5D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</w:p>
          <w:p w:rsidR="00650F5D" w:rsidRPr="003B5340" w:rsidRDefault="00650F5D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 2/1980</w:t>
            </w:r>
          </w:p>
          <w:p w:rsidR="00650F5D" w:rsidRPr="003B5340" w:rsidRDefault="00650F5D" w:rsidP="00CA30C3">
            <w:pPr>
              <w:tabs>
                <w:tab w:val="left" w:pos="1134"/>
              </w:tabs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5/1982                    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15/1982                    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11/1984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40/1984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34/1986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53/1987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35/1988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40/1988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51/1990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30/1992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49/1994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12/2001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28/2001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44/2002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16/2004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16/2005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77/2009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52/2010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 4/2011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31/2011</w:t>
            </w:r>
          </w:p>
          <w:p w:rsidR="00650F5D" w:rsidRPr="003B5340" w:rsidRDefault="00CA30C3" w:rsidP="00CA30C3">
            <w:pPr>
              <w:tabs>
                <w:tab w:val="left" w:pos="1134"/>
              </w:tabs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20/2017</w:t>
            </w:r>
          </w:p>
          <w:p w:rsidR="00650F5D" w:rsidRDefault="00650F5D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61" w:rsidRPr="003B5340" w:rsidRDefault="001B7661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04" w:type="dxa"/>
            <w:gridSpan w:val="2"/>
          </w:tcPr>
          <w:p w:rsidR="00650F5D" w:rsidRPr="003B5340" w:rsidRDefault="00650F5D" w:rsidP="003B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Bu Yasa, Sivil Savunma Teşkilatı Personel Yasasının 24’üncü maddesi uyarınca Hayat Pahalılığı Ödeneği almaya hak kazananları kapsar. </w:t>
            </w:r>
          </w:p>
          <w:p w:rsidR="00650F5D" w:rsidRPr="003B5340" w:rsidRDefault="00650F5D" w:rsidP="0021645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5D" w:rsidRPr="003B5340" w:rsidTr="00330B0C">
        <w:tc>
          <w:tcPr>
            <w:tcW w:w="1790" w:type="dxa"/>
          </w:tcPr>
          <w:p w:rsidR="00650F5D" w:rsidRPr="003B5340" w:rsidRDefault="00650F5D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Amaç</w:t>
            </w:r>
          </w:p>
          <w:p w:rsidR="00650F5D" w:rsidRPr="003B5340" w:rsidRDefault="00650F5D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 2/1980</w:t>
            </w:r>
          </w:p>
          <w:p w:rsidR="00650F5D" w:rsidRPr="003B5340" w:rsidRDefault="00650F5D" w:rsidP="00CA30C3">
            <w:pPr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5/1982                    </w:t>
            </w:r>
          </w:p>
          <w:p w:rsidR="00650F5D" w:rsidRPr="003B5340" w:rsidRDefault="00CA30C3" w:rsidP="00CA30C3">
            <w:pPr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15/1982                    </w:t>
            </w:r>
          </w:p>
          <w:p w:rsidR="00650F5D" w:rsidRPr="003B5340" w:rsidRDefault="00CA30C3" w:rsidP="00CA30C3">
            <w:pPr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11/1984</w:t>
            </w:r>
          </w:p>
          <w:p w:rsidR="00650F5D" w:rsidRPr="003B5340" w:rsidRDefault="00CA30C3" w:rsidP="00CA30C3">
            <w:pPr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40/1984</w:t>
            </w:r>
          </w:p>
          <w:p w:rsidR="00650F5D" w:rsidRPr="003B5340" w:rsidRDefault="00CA30C3" w:rsidP="00CA30C3">
            <w:pPr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34/1986</w:t>
            </w:r>
          </w:p>
          <w:p w:rsidR="00650F5D" w:rsidRPr="003B5340" w:rsidRDefault="00CA30C3" w:rsidP="00CA30C3">
            <w:pPr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53/1987</w:t>
            </w:r>
          </w:p>
          <w:p w:rsidR="00650F5D" w:rsidRPr="003B5340" w:rsidRDefault="00CA30C3" w:rsidP="00CA30C3">
            <w:pPr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35/1988</w:t>
            </w:r>
          </w:p>
          <w:p w:rsidR="00650F5D" w:rsidRPr="003B5340" w:rsidRDefault="00330B0C" w:rsidP="00330B0C">
            <w:pPr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40/1988</w:t>
            </w:r>
          </w:p>
          <w:p w:rsidR="00650F5D" w:rsidRPr="003B5340" w:rsidRDefault="00330B0C" w:rsidP="00330B0C">
            <w:pPr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0F5D" w:rsidRPr="003B5340">
              <w:rPr>
                <w:rFonts w:ascii="Times New Roman" w:hAnsi="Times New Roman" w:cs="Times New Roman"/>
                <w:sz w:val="24"/>
                <w:szCs w:val="24"/>
              </w:rPr>
              <w:t>51/1990</w:t>
            </w:r>
          </w:p>
          <w:p w:rsidR="00650F5D" w:rsidRPr="003B5340" w:rsidRDefault="00650F5D" w:rsidP="00330B0C">
            <w:pPr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30/1992</w:t>
            </w:r>
          </w:p>
          <w:p w:rsidR="00650F5D" w:rsidRPr="003B5340" w:rsidRDefault="00650F5D" w:rsidP="00330B0C">
            <w:pPr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49/1994</w:t>
            </w:r>
          </w:p>
          <w:p w:rsidR="00650F5D" w:rsidRPr="003B5340" w:rsidRDefault="00650F5D" w:rsidP="00330B0C">
            <w:pPr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12/2001</w:t>
            </w:r>
          </w:p>
          <w:p w:rsidR="00650F5D" w:rsidRPr="003B5340" w:rsidRDefault="00650F5D" w:rsidP="00330B0C">
            <w:pPr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28/2001</w:t>
            </w:r>
          </w:p>
          <w:p w:rsidR="00650F5D" w:rsidRPr="003B5340" w:rsidRDefault="00650F5D" w:rsidP="00330B0C">
            <w:pPr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44/2002</w:t>
            </w:r>
          </w:p>
          <w:p w:rsidR="00650F5D" w:rsidRPr="003B5340" w:rsidRDefault="00650F5D" w:rsidP="00330B0C">
            <w:pPr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16/2004</w:t>
            </w:r>
          </w:p>
          <w:p w:rsidR="00650F5D" w:rsidRPr="003B5340" w:rsidRDefault="00650F5D" w:rsidP="00330B0C">
            <w:pPr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16/2005</w:t>
            </w:r>
          </w:p>
          <w:p w:rsidR="00650F5D" w:rsidRPr="003B5340" w:rsidRDefault="00650F5D" w:rsidP="00330B0C">
            <w:pPr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77/2009</w:t>
            </w:r>
          </w:p>
          <w:p w:rsidR="00650F5D" w:rsidRPr="003B5340" w:rsidRDefault="00650F5D" w:rsidP="00330B0C">
            <w:pPr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52/2010</w:t>
            </w:r>
          </w:p>
          <w:p w:rsidR="00650F5D" w:rsidRPr="003B5340" w:rsidRDefault="00650F5D" w:rsidP="00330B0C">
            <w:pPr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  4/2011</w:t>
            </w:r>
          </w:p>
          <w:p w:rsidR="00650F5D" w:rsidRPr="003B5340" w:rsidRDefault="00650F5D" w:rsidP="00330B0C">
            <w:pPr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31/2011</w:t>
            </w:r>
          </w:p>
          <w:p w:rsidR="00650F5D" w:rsidRPr="003B5340" w:rsidRDefault="00650F5D" w:rsidP="00330B0C">
            <w:pPr>
              <w:ind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20/2017</w:t>
            </w:r>
          </w:p>
          <w:p w:rsidR="00650F5D" w:rsidRPr="003B5340" w:rsidRDefault="00650F5D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650F5D" w:rsidRPr="003B5340" w:rsidRDefault="00650F5D" w:rsidP="003B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Bu Yasa ile</w:t>
            </w:r>
            <w:r w:rsidR="00CA3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 Sivil Savunma Teşkilatı Personel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Yasası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nın 24’üncü maddesi uyarınca Hayat Pahalılığı Ödeneği almaya hak kazananların, Ocak ve Temmuz aylarında olmak üzere yılda iki kez </w:t>
            </w:r>
            <w:proofErr w:type="gramStart"/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 edilerek uygulanan Hayat Pahalılığı Ödeneği Hakkının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 ay (Ekim, Kasım, Aralık) süreyle durdurulması amaçlanmaktadır.</w:t>
            </w:r>
          </w:p>
          <w:p w:rsidR="00650F5D" w:rsidRPr="003B5340" w:rsidRDefault="00650F5D" w:rsidP="00216452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5D" w:rsidRPr="003B5340" w:rsidTr="00330B0C">
        <w:tc>
          <w:tcPr>
            <w:tcW w:w="1790" w:type="dxa"/>
          </w:tcPr>
          <w:p w:rsidR="00650F5D" w:rsidRPr="003B5340" w:rsidRDefault="00650F5D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650F5D" w:rsidRPr="003B5340" w:rsidRDefault="00650F5D" w:rsidP="003B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5D" w:rsidRPr="003B5340" w:rsidTr="00330B0C">
        <w:tc>
          <w:tcPr>
            <w:tcW w:w="1790" w:type="dxa"/>
          </w:tcPr>
          <w:p w:rsidR="00650F5D" w:rsidRPr="006F1A96" w:rsidRDefault="00650F5D" w:rsidP="0065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1A96">
              <w:rPr>
                <w:rFonts w:ascii="Times New Roman" w:hAnsi="Times New Roman" w:cs="Times New Roman"/>
                <w:sz w:val="24"/>
                <w:szCs w:val="24"/>
              </w:rPr>
              <w:t>Geçici  Madde</w:t>
            </w:r>
            <w:proofErr w:type="gramEnd"/>
          </w:p>
          <w:p w:rsidR="00650F5D" w:rsidRPr="006F1A96" w:rsidRDefault="00650F5D" w:rsidP="0065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96">
              <w:rPr>
                <w:rFonts w:ascii="Times New Roman" w:hAnsi="Times New Roman" w:cs="Times New Roman"/>
                <w:sz w:val="24"/>
                <w:szCs w:val="24"/>
              </w:rPr>
              <w:t xml:space="preserve">Sivil Savunma Teşkilatı Personel Yasasının 24’üncü Maddesinin    </w:t>
            </w:r>
          </w:p>
          <w:p w:rsidR="00650F5D" w:rsidRPr="006F1A96" w:rsidRDefault="00650F5D" w:rsidP="0065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96">
              <w:rPr>
                <w:rFonts w:ascii="Times New Roman" w:hAnsi="Times New Roman" w:cs="Times New Roman"/>
                <w:sz w:val="24"/>
                <w:szCs w:val="24"/>
              </w:rPr>
              <w:t>Uygulanmaması</w:t>
            </w:r>
          </w:p>
          <w:p w:rsidR="00650F5D" w:rsidRPr="006F1A96" w:rsidRDefault="00650F5D" w:rsidP="006F1A9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96">
              <w:rPr>
                <w:rFonts w:ascii="Times New Roman" w:hAnsi="Times New Roman" w:cs="Times New Roman"/>
                <w:sz w:val="24"/>
                <w:szCs w:val="24"/>
              </w:rPr>
              <w:t xml:space="preserve"> 2/1980 </w:t>
            </w:r>
            <w:r w:rsidRPr="006F1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 xml:space="preserve">5/1982                    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 xml:space="preserve">15/1982                    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11/1984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40/1984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34/1986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53/1987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35/1988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40/1988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51/1990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30/1992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49/1994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12/2001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28/2001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44/2002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16/2004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16/2005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77/2009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52/2010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 xml:space="preserve">  4/2011</w:t>
            </w:r>
          </w:p>
          <w:p w:rsidR="00650F5D" w:rsidRPr="006F1A96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31/2011</w:t>
            </w:r>
          </w:p>
          <w:p w:rsidR="00650F5D" w:rsidRPr="003B5340" w:rsidRDefault="00330B0C" w:rsidP="00330B0C">
            <w:pPr>
              <w:tabs>
                <w:tab w:val="left" w:pos="709"/>
              </w:tabs>
              <w:ind w:righ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F5D" w:rsidRPr="006F1A96">
              <w:rPr>
                <w:rFonts w:ascii="Times New Roman" w:hAnsi="Times New Roman" w:cs="Times New Roman"/>
                <w:sz w:val="24"/>
                <w:szCs w:val="24"/>
              </w:rPr>
              <w:t>20/2017</w:t>
            </w:r>
          </w:p>
        </w:tc>
        <w:tc>
          <w:tcPr>
            <w:tcW w:w="7404" w:type="dxa"/>
            <w:gridSpan w:val="2"/>
          </w:tcPr>
          <w:p w:rsidR="00650F5D" w:rsidRPr="006F1A96" w:rsidRDefault="00650F5D" w:rsidP="006F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Sivil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vunma Teşkilatı Personel Yasası</w:t>
            </w:r>
            <w:r w:rsidRPr="006F1A96">
              <w:rPr>
                <w:rFonts w:ascii="Times New Roman" w:hAnsi="Times New Roman" w:cs="Times New Roman"/>
                <w:sz w:val="24"/>
                <w:szCs w:val="24"/>
              </w:rPr>
              <w:t>nın 24’üncü maddesi kuralları, 1 Ekim 2018 tarihi ile 31 Aralık 2018 tarihleri arasında uygulanmaz.</w:t>
            </w:r>
          </w:p>
        </w:tc>
      </w:tr>
      <w:tr w:rsidR="00650F5D" w:rsidRPr="003B5340" w:rsidTr="00330B0C">
        <w:tc>
          <w:tcPr>
            <w:tcW w:w="1790" w:type="dxa"/>
          </w:tcPr>
          <w:p w:rsidR="00650F5D" w:rsidRPr="003B5340" w:rsidRDefault="00650F5D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650F5D" w:rsidRPr="003B5340" w:rsidRDefault="00650F5D" w:rsidP="003B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5D" w:rsidRPr="003B5340" w:rsidTr="00330B0C">
        <w:tc>
          <w:tcPr>
            <w:tcW w:w="1790" w:type="dxa"/>
          </w:tcPr>
          <w:p w:rsidR="00650F5D" w:rsidRPr="003B5340" w:rsidRDefault="00650F5D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Yürütme Yetkisi</w:t>
            </w:r>
          </w:p>
        </w:tc>
        <w:tc>
          <w:tcPr>
            <w:tcW w:w="7404" w:type="dxa"/>
            <w:gridSpan w:val="2"/>
          </w:tcPr>
          <w:p w:rsidR="00650F5D" w:rsidRPr="00901EAB" w:rsidRDefault="00650F5D" w:rsidP="003B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EAB">
              <w:rPr>
                <w:rFonts w:ascii="Times New Roman" w:hAnsi="Times New Roman" w:cs="Times New Roman"/>
                <w:sz w:val="24"/>
                <w:szCs w:val="24"/>
              </w:rPr>
              <w:t xml:space="preserve">Bu Yasa, Maliye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İşleriyle Görevli Bakanlık </w:t>
            </w:r>
            <w:r w:rsidRPr="00901EAB">
              <w:rPr>
                <w:rFonts w:ascii="Times New Roman" w:hAnsi="Times New Roman" w:cs="Times New Roman"/>
                <w:sz w:val="24"/>
                <w:szCs w:val="24"/>
              </w:rPr>
              <w:t>tarafından yürütülür.</w:t>
            </w:r>
          </w:p>
          <w:p w:rsidR="00650F5D" w:rsidRPr="003B5340" w:rsidRDefault="00650F5D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5D" w:rsidRPr="003B5340" w:rsidTr="00330B0C">
        <w:tc>
          <w:tcPr>
            <w:tcW w:w="1790" w:type="dxa"/>
          </w:tcPr>
          <w:p w:rsidR="00650F5D" w:rsidRPr="003B5340" w:rsidRDefault="00650F5D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50F5D" w:rsidRPr="003B5340" w:rsidRDefault="00650F5D" w:rsidP="0021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50F5D" w:rsidRPr="00901EAB" w:rsidRDefault="00650F5D" w:rsidP="003B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5D" w:rsidRPr="003B5340" w:rsidTr="00330B0C">
        <w:tc>
          <w:tcPr>
            <w:tcW w:w="1790" w:type="dxa"/>
          </w:tcPr>
          <w:p w:rsidR="00650F5D" w:rsidRPr="003B5340" w:rsidRDefault="00650F5D" w:rsidP="003B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Yürürlükten Kaldırma</w:t>
            </w:r>
          </w:p>
          <w:p w:rsidR="00650F5D" w:rsidRPr="003B5340" w:rsidRDefault="00650F5D" w:rsidP="003B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R.G. EK: I</w:t>
            </w:r>
          </w:p>
          <w:p w:rsidR="00650F5D" w:rsidRPr="003B5340" w:rsidRDefault="00650F5D" w:rsidP="003B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Bölüm II</w:t>
            </w:r>
          </w:p>
          <w:p w:rsidR="00650F5D" w:rsidRDefault="00650F5D" w:rsidP="003B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R.G. 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Sayı: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  <w:p w:rsidR="00650F5D" w:rsidRPr="003B5340" w:rsidRDefault="00650F5D" w:rsidP="003B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Sayı: 35/2018</w:t>
            </w:r>
          </w:p>
          <w:p w:rsidR="00650F5D" w:rsidRPr="003B5340" w:rsidRDefault="00650F5D" w:rsidP="003B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7404" w:type="dxa"/>
            <w:gridSpan w:val="2"/>
          </w:tcPr>
          <w:p w:rsidR="00650F5D" w:rsidRPr="00901EAB" w:rsidRDefault="00650F5D" w:rsidP="006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14CAA">
              <w:rPr>
                <w:rFonts w:ascii="Times New Roman" w:hAnsi="Times New Roman" w:cs="Times New Roman"/>
                <w:sz w:val="24"/>
                <w:szCs w:val="24"/>
              </w:rPr>
              <w:t xml:space="preserve">Bu Yasanın yürürlüğe girdiği tarihten başlayarak, 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Sivil Savu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nma Teşkilatı Personel Yasasının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 Hayat Pahalılığı Ödeneği Hakkını Düzenleyen 24’üncü Maddesinin Uygulanmasının 3 Ay Süre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le Durdurulması Hakkında</w:t>
            </w:r>
            <w:r w:rsidRPr="00414CAA">
              <w:rPr>
                <w:rFonts w:ascii="Times New Roman" w:hAnsi="Times New Roman" w:cs="Times New Roman"/>
                <w:sz w:val="24"/>
                <w:szCs w:val="24"/>
              </w:rPr>
              <w:t xml:space="preserve"> Yasa Gücünde Kararname, bu Kararname altında yapılan işlemlere halel gelmeksizin yürürlükten kalkar.</w:t>
            </w:r>
          </w:p>
        </w:tc>
      </w:tr>
      <w:tr w:rsidR="00650F5D" w:rsidRPr="003B5340" w:rsidTr="00330B0C">
        <w:tc>
          <w:tcPr>
            <w:tcW w:w="1790" w:type="dxa"/>
          </w:tcPr>
          <w:p w:rsidR="00650F5D" w:rsidRPr="003B5340" w:rsidRDefault="00650F5D" w:rsidP="0021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50F5D" w:rsidRDefault="00650F5D" w:rsidP="0021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50F5D" w:rsidRPr="00901EAB" w:rsidRDefault="00650F5D" w:rsidP="003B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5D" w:rsidRPr="003B5340" w:rsidTr="00330B0C">
        <w:tc>
          <w:tcPr>
            <w:tcW w:w="1790" w:type="dxa"/>
          </w:tcPr>
          <w:p w:rsidR="00650F5D" w:rsidRPr="003B5340" w:rsidRDefault="00650F5D" w:rsidP="0021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AA">
              <w:rPr>
                <w:rFonts w:ascii="Times New Roman" w:hAnsi="Times New Roman" w:cs="Times New Roman"/>
                <w:sz w:val="24"/>
                <w:szCs w:val="24"/>
              </w:rPr>
              <w:t>Yürürlüğe Giriş, Yürürlükten Kaldırma ve Uygulama Kuralları</w:t>
            </w:r>
          </w:p>
        </w:tc>
        <w:tc>
          <w:tcPr>
            <w:tcW w:w="7404" w:type="dxa"/>
            <w:gridSpan w:val="2"/>
          </w:tcPr>
          <w:p w:rsidR="00650F5D" w:rsidRPr="003B5340" w:rsidRDefault="00650F5D" w:rsidP="00CC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Bu Yasa, 1 Ekim 2018 tarihinden başlayarak yürürlüğe girer </w:t>
            </w:r>
            <w:proofErr w:type="gramStart"/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CA30C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B53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End"/>
            <w:r w:rsidRPr="003B5340">
              <w:rPr>
                <w:rFonts w:ascii="Times New Roman" w:hAnsi="Times New Roman" w:cs="Times New Roman"/>
                <w:sz w:val="24"/>
                <w:szCs w:val="24"/>
              </w:rPr>
              <w:t xml:space="preserve"> Aralık 2018 tarihinde yürürlükten kalkar ve bu tarihler arasındaki dönem 1 Ocak 2019 tarihinden itibaren uygulanacak olan Hayat Pahalılığı Ödeneği hesaplanmasında dikkate alınmaz.</w:t>
            </w:r>
          </w:p>
        </w:tc>
      </w:tr>
    </w:tbl>
    <w:p w:rsidR="00410751" w:rsidRDefault="00410751"/>
    <w:sectPr w:rsidR="004107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4177F"/>
    <w:multiLevelType w:val="hybridMultilevel"/>
    <w:tmpl w:val="EDD81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44D10"/>
    <w:multiLevelType w:val="hybridMultilevel"/>
    <w:tmpl w:val="D362D0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77"/>
    <w:rsid w:val="00020F77"/>
    <w:rsid w:val="001B7661"/>
    <w:rsid w:val="00202BAC"/>
    <w:rsid w:val="00214A29"/>
    <w:rsid w:val="00330B0C"/>
    <w:rsid w:val="003B5340"/>
    <w:rsid w:val="003D1FFC"/>
    <w:rsid w:val="00410751"/>
    <w:rsid w:val="00457853"/>
    <w:rsid w:val="00632077"/>
    <w:rsid w:val="006457FE"/>
    <w:rsid w:val="00650F5D"/>
    <w:rsid w:val="006A191E"/>
    <w:rsid w:val="006C52B8"/>
    <w:rsid w:val="006E2FF7"/>
    <w:rsid w:val="006F1A96"/>
    <w:rsid w:val="00870C05"/>
    <w:rsid w:val="00A727CC"/>
    <w:rsid w:val="00AD20A8"/>
    <w:rsid w:val="00CA30C3"/>
    <w:rsid w:val="00CC5511"/>
    <w:rsid w:val="00DE17E9"/>
    <w:rsid w:val="00E01771"/>
    <w:rsid w:val="00F02830"/>
    <w:rsid w:val="00F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FC"/>
    <w:rPr>
      <w:rFonts w:ascii="Calibri" w:eastAsia="Calibri" w:hAnsi="Calibri" w:cs="Calibri"/>
      <w:lang w:val="tr-TR"/>
    </w:rPr>
  </w:style>
  <w:style w:type="paragraph" w:styleId="Heading7">
    <w:name w:val="heading 7"/>
    <w:basedOn w:val="Normal"/>
    <w:next w:val="Normal"/>
    <w:link w:val="Heading7Char"/>
    <w:qFormat/>
    <w:rsid w:val="003D1FFC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D1FFC"/>
    <w:rPr>
      <w:rFonts w:ascii="Arial" w:eastAsia="Times New Roman" w:hAnsi="Arial" w:cs="Times New Roman"/>
      <w:sz w:val="24"/>
      <w:szCs w:val="20"/>
      <w:u w:val="single"/>
      <w:lang w:val="tr-TR"/>
    </w:rPr>
  </w:style>
  <w:style w:type="paragraph" w:styleId="BodyTextIndent">
    <w:name w:val="Body Text Indent"/>
    <w:basedOn w:val="Normal"/>
    <w:link w:val="BodyTextIndentChar"/>
    <w:rsid w:val="003D1FFC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1FFC"/>
    <w:rPr>
      <w:rFonts w:ascii="Arial" w:eastAsia="Times New Roman" w:hAnsi="Arial" w:cs="Times New Roman"/>
      <w:sz w:val="24"/>
      <w:szCs w:val="20"/>
      <w:lang w:val="tr-TR"/>
    </w:rPr>
  </w:style>
  <w:style w:type="table" w:styleId="TableGrid">
    <w:name w:val="Table Grid"/>
    <w:basedOn w:val="TableNormal"/>
    <w:rsid w:val="003D1FFC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FE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FC"/>
    <w:rPr>
      <w:rFonts w:ascii="Calibri" w:eastAsia="Calibri" w:hAnsi="Calibri" w:cs="Calibri"/>
      <w:lang w:val="tr-TR"/>
    </w:rPr>
  </w:style>
  <w:style w:type="paragraph" w:styleId="Heading7">
    <w:name w:val="heading 7"/>
    <w:basedOn w:val="Normal"/>
    <w:next w:val="Normal"/>
    <w:link w:val="Heading7Char"/>
    <w:qFormat/>
    <w:rsid w:val="003D1FFC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D1FFC"/>
    <w:rPr>
      <w:rFonts w:ascii="Arial" w:eastAsia="Times New Roman" w:hAnsi="Arial" w:cs="Times New Roman"/>
      <w:sz w:val="24"/>
      <w:szCs w:val="20"/>
      <w:u w:val="single"/>
      <w:lang w:val="tr-TR"/>
    </w:rPr>
  </w:style>
  <w:style w:type="paragraph" w:styleId="BodyTextIndent">
    <w:name w:val="Body Text Indent"/>
    <w:basedOn w:val="Normal"/>
    <w:link w:val="BodyTextIndentChar"/>
    <w:rsid w:val="003D1FFC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1FFC"/>
    <w:rPr>
      <w:rFonts w:ascii="Arial" w:eastAsia="Times New Roman" w:hAnsi="Arial" w:cs="Times New Roman"/>
      <w:sz w:val="24"/>
      <w:szCs w:val="20"/>
      <w:lang w:val="tr-TR"/>
    </w:rPr>
  </w:style>
  <w:style w:type="table" w:styleId="TableGrid">
    <w:name w:val="Table Grid"/>
    <w:basedOn w:val="TableNormal"/>
    <w:rsid w:val="003D1FFC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FE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gurkan artun</cp:lastModifiedBy>
  <cp:revision>11</cp:revision>
  <cp:lastPrinted>2018-12-03T13:01:00Z</cp:lastPrinted>
  <dcterms:created xsi:type="dcterms:W3CDTF">2018-11-29T15:06:00Z</dcterms:created>
  <dcterms:modified xsi:type="dcterms:W3CDTF">2019-01-04T12:45:00Z</dcterms:modified>
</cp:coreProperties>
</file>