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8" w:rsidRDefault="00867628" w:rsidP="008676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Kuzey Kıbrıs Türk Cumhu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riyeti Cumhuriyet Meclisi’nin 6 Mart 2018 tarihli D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okuzuncu Birleşiminde Oybirliğiyle kabul olunan “Yataklı Tedavi Kurumları Dairesi (Kuruluş, Görev ve Ça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lışma Esasları) (Değişiklik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) Yasası” Anayasanın 94’üncü maddesinin (1)’inci fıkrası gereğince Kuzey Kıbrıs Türk Cumhuriyeti Cumhurbaşkanı tarafından Resmi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Gazete’de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yayımlanmak suretiyle ilan olunur.</w:t>
      </w:r>
    </w:p>
    <w:p w:rsidR="00867628" w:rsidRDefault="00867628" w:rsidP="00867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7628" w:rsidRDefault="00867628" w:rsidP="008676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Sayı: 2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/2018</w:t>
      </w:r>
    </w:p>
    <w:p w:rsidR="00867628" w:rsidRPr="00867628" w:rsidRDefault="00867628" w:rsidP="00867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628" w:rsidRPr="00867628" w:rsidRDefault="00867628" w:rsidP="00867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212" w:type="dxa"/>
        <w:tblLook w:val="00A0" w:firstRow="1" w:lastRow="0" w:firstColumn="1" w:lastColumn="0" w:noHBand="0" w:noVBand="0"/>
      </w:tblPr>
      <w:tblGrid>
        <w:gridCol w:w="1651"/>
        <w:gridCol w:w="65"/>
        <w:gridCol w:w="105"/>
        <w:gridCol w:w="342"/>
        <w:gridCol w:w="142"/>
        <w:gridCol w:w="62"/>
        <w:gridCol w:w="363"/>
        <w:gridCol w:w="142"/>
        <w:gridCol w:w="94"/>
        <w:gridCol w:w="729"/>
        <w:gridCol w:w="5339"/>
      </w:tblGrid>
      <w:tr w:rsidR="00867628" w:rsidRPr="00867628" w:rsidTr="004A7BDF">
        <w:tc>
          <w:tcPr>
            <w:tcW w:w="9034" w:type="dxa"/>
            <w:gridSpan w:val="11"/>
          </w:tcPr>
          <w:p w:rsidR="00867628" w:rsidRPr="00867628" w:rsidRDefault="00867628" w:rsidP="0086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YATAKLI TEDAVİ KURUMLARI DAİRESİ </w:t>
            </w:r>
          </w:p>
          <w:p w:rsidR="00867628" w:rsidRPr="00867628" w:rsidRDefault="00867628" w:rsidP="0086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(KURULUŞ, GÖREV VE ÇALIŞMA ESASLARI) (DEĞİŞİKLİK)</w:t>
            </w:r>
          </w:p>
          <w:p w:rsidR="00867628" w:rsidRPr="00867628" w:rsidRDefault="00867628" w:rsidP="0086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YASASI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9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9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      Kuzey Kıbrıs Türk Cumhuriyeti Cumhuriyet Meclisi aşağıdaki yasayı yapar: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9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34/2007</w:t>
            </w: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  19/2016</w:t>
            </w:r>
          </w:p>
        </w:tc>
        <w:tc>
          <w:tcPr>
            <w:tcW w:w="7318" w:type="dxa"/>
            <w:gridSpan w:val="9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1. Bu Yasa, Yataklı Tedavi Kurumları Dairesi (Kuruluş, Görev ve Çalışma Esasları) (Değişiklik) Yasası olarak isimlendirilir ve aşağıda “Esas Yasa” olarak anılan Yataklı Tedavi Kurumları Dairesi (Kuruluş, Görev ve Çalışma Esasları) </w:t>
            </w:r>
            <w:proofErr w:type="gramStart"/>
            <w:r w:rsidRPr="00867628">
              <w:rPr>
                <w:rFonts w:ascii="Times New Roman" w:hAnsi="Times New Roman"/>
                <w:sz w:val="24"/>
                <w:szCs w:val="24"/>
              </w:rPr>
              <w:t>Yasası  ile</w:t>
            </w:r>
            <w:proofErr w:type="gram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birlikte okunur.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9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28" w:rsidRPr="00867628" w:rsidTr="004A7BDF">
        <w:trPr>
          <w:trHeight w:val="535"/>
        </w:trPr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Esas Yasanın</w:t>
            </w: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12’nci </w:t>
            </w:r>
          </w:p>
        </w:tc>
        <w:tc>
          <w:tcPr>
            <w:tcW w:w="447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304" w:type="dxa"/>
            <w:gridSpan w:val="4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Esas Yasa, 12’nci maddesinin (1)’inci fıkrasına bağlı Birinci Cetvelde yer alan: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Maddesinin Değiştirilmesi</w:t>
            </w:r>
          </w:p>
        </w:tc>
        <w:tc>
          <w:tcPr>
            <w:tcW w:w="447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339" w:type="dxa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“III. Derece Yüksek Hemşire” kadrosunda kadro sayısı olarak yer alan “180” rakamı kaldırılmak ve yerine “300” rakamı konmak;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339" w:type="dxa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“IV. Derece Hemşire” kadrosunda kadro sayısı olarak yer alan “288” rakamı kaldırılmak ve yerine “170” rakamı konmak</w:t>
            </w:r>
          </w:p>
        </w:tc>
      </w:tr>
      <w:tr w:rsidR="00867628" w:rsidRPr="00867628" w:rsidTr="004A7BDF">
        <w:tc>
          <w:tcPr>
            <w:tcW w:w="1716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4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628">
              <w:rPr>
                <w:rFonts w:ascii="Times New Roman" w:hAnsi="Times New Roman"/>
                <w:sz w:val="24"/>
                <w:szCs w:val="24"/>
              </w:rPr>
              <w:t>suretiyle</w:t>
            </w:r>
            <w:proofErr w:type="gram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değiştirilir.</w:t>
            </w:r>
          </w:p>
        </w:tc>
      </w:tr>
      <w:tr w:rsidR="00867628" w:rsidRPr="00867628" w:rsidTr="004A7BDF">
        <w:tc>
          <w:tcPr>
            <w:tcW w:w="1651" w:type="dxa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304" w:type="dxa"/>
            <w:gridSpan w:val="4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Esas Yasa, 12’nci maddesinin (1)’inci fıkrasına bağlı Birinci Cetvelin sonunda yer alan “1578 Toplam”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kaldırılmak ve yerine “1580 Toplam”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konmak ve “1728 Genel Toplam”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kaldırılmak ve yerine “1730 Genel Toplam”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konmak suretiyle değiştirilir.</w:t>
            </w:r>
          </w:p>
        </w:tc>
      </w:tr>
      <w:tr w:rsidR="00867628" w:rsidRPr="00867628" w:rsidTr="004A7BDF">
        <w:tc>
          <w:tcPr>
            <w:tcW w:w="1651" w:type="dxa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5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28" w:rsidRPr="00867628" w:rsidTr="004A7BDF">
        <w:trPr>
          <w:trHeight w:val="226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Esas Yasanın </w:t>
            </w:r>
          </w:p>
        </w:tc>
        <w:tc>
          <w:tcPr>
            <w:tcW w:w="7213" w:type="dxa"/>
            <w:gridSpan w:val="8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3. Esas Yasa, 13’üncü </w:t>
            </w:r>
            <w:proofErr w:type="gramStart"/>
            <w:r w:rsidRPr="00867628">
              <w:rPr>
                <w:rFonts w:ascii="Times New Roman" w:hAnsi="Times New Roman"/>
                <w:sz w:val="24"/>
                <w:szCs w:val="24"/>
              </w:rPr>
              <w:t>maddesine  bağlı</w:t>
            </w:r>
            <w:proofErr w:type="gram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İkinci Cetvelde yer alan:</w:t>
            </w:r>
          </w:p>
        </w:tc>
      </w:tr>
      <w:tr w:rsidR="00867628" w:rsidRPr="00867628" w:rsidTr="004A7BDF">
        <w:trPr>
          <w:trHeight w:val="1084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13’üncü Maddesinin</w:t>
            </w: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28" w:rsidRPr="00867628" w:rsidRDefault="00867628" w:rsidP="0086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162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“III. Derece Yüksek Hemşire” kadro hizmet şemasının baş kısmında yer alan “Kadro Sayısı: 180”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ve rakamı kaldırılmak ve yerine “Kadro Sayısı: 300”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ve rakamı konmak;</w:t>
            </w:r>
          </w:p>
        </w:tc>
      </w:tr>
      <w:tr w:rsidR="00867628" w:rsidRPr="00867628" w:rsidTr="004A7BDF">
        <w:trPr>
          <w:trHeight w:val="842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162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“IV. </w:t>
            </w:r>
            <w:proofErr w:type="gramStart"/>
            <w:r w:rsidRPr="00867628">
              <w:rPr>
                <w:rFonts w:ascii="Times New Roman" w:hAnsi="Times New Roman"/>
                <w:sz w:val="24"/>
                <w:szCs w:val="24"/>
              </w:rPr>
              <w:t>Derece  Hemşire</w:t>
            </w:r>
            <w:proofErr w:type="gram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” kadro hizmet şemasının baş kısmında yer alan “Kadro Sayısı: 288”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ve rakamı kaldırılmak ve yerine “Kadro Sayısı: 170”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sözdizisi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ve rakamı konmak</w:t>
            </w:r>
          </w:p>
        </w:tc>
      </w:tr>
      <w:tr w:rsidR="00867628" w:rsidRPr="00867628" w:rsidTr="004A7BDF">
        <w:trPr>
          <w:trHeight w:val="261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  <w:gridSpan w:val="6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628">
              <w:rPr>
                <w:rFonts w:ascii="Times New Roman" w:hAnsi="Times New Roman"/>
                <w:sz w:val="24"/>
                <w:szCs w:val="24"/>
              </w:rPr>
              <w:t>suretiyle</w:t>
            </w:r>
            <w:proofErr w:type="gram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değiştirilir.</w:t>
            </w:r>
          </w:p>
        </w:tc>
      </w:tr>
      <w:tr w:rsidR="00867628" w:rsidRPr="00867628" w:rsidTr="004A7BDF">
        <w:trPr>
          <w:trHeight w:val="261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8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28" w:rsidRPr="00867628" w:rsidTr="004A7BDF">
        <w:trPr>
          <w:trHeight w:val="80"/>
        </w:trPr>
        <w:tc>
          <w:tcPr>
            <w:tcW w:w="1821" w:type="dxa"/>
            <w:gridSpan w:val="3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7213" w:type="dxa"/>
            <w:gridSpan w:val="8"/>
          </w:tcPr>
          <w:p w:rsidR="00867628" w:rsidRPr="00867628" w:rsidRDefault="00867628" w:rsidP="00867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28">
              <w:rPr>
                <w:rFonts w:ascii="Times New Roman" w:hAnsi="Times New Roman"/>
                <w:sz w:val="24"/>
                <w:szCs w:val="24"/>
              </w:rPr>
              <w:t xml:space="preserve">4. Bu Yasa, Resmi </w:t>
            </w:r>
            <w:proofErr w:type="spellStart"/>
            <w:r w:rsidRPr="00867628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867628">
              <w:rPr>
                <w:rFonts w:ascii="Times New Roman" w:hAnsi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867628" w:rsidRPr="00867628" w:rsidRDefault="00867628" w:rsidP="00867628">
      <w:pPr>
        <w:spacing w:after="0" w:line="240" w:lineRule="auto"/>
        <w:jc w:val="center"/>
        <w:rPr>
          <w:rFonts w:ascii="Times New Roman" w:hAnsi="Times New Roman"/>
        </w:rPr>
      </w:pPr>
    </w:p>
    <w:p w:rsidR="00BE1B01" w:rsidRDefault="00BE1B01">
      <w:bookmarkStart w:id="0" w:name="_GoBack"/>
      <w:bookmarkEnd w:id="0"/>
    </w:p>
    <w:sectPr w:rsidR="00BE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C"/>
    <w:rsid w:val="00073C9F"/>
    <w:rsid w:val="0036213C"/>
    <w:rsid w:val="00867628"/>
    <w:rsid w:val="00B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3</cp:revision>
  <dcterms:created xsi:type="dcterms:W3CDTF">2018-07-30T06:37:00Z</dcterms:created>
  <dcterms:modified xsi:type="dcterms:W3CDTF">2018-07-30T06:37:00Z</dcterms:modified>
</cp:coreProperties>
</file>