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FA" w:rsidRDefault="00EC31FA" w:rsidP="00EC31FA">
      <w:pPr>
        <w:jc w:val="both"/>
        <w:rPr>
          <w:b/>
          <w:bCs/>
        </w:rPr>
      </w:pPr>
      <w:proofErr w:type="gramStart"/>
      <w:r>
        <w:rPr>
          <w:b/>
          <w:bCs/>
        </w:rPr>
        <w:t>Kuzey Kıbrıs Türk Cumhur</w:t>
      </w:r>
      <w:r>
        <w:rPr>
          <w:b/>
          <w:bCs/>
        </w:rPr>
        <w:t>iyeti Cumhuriyet Meclisi’nin 8 Ekim 2018</w:t>
      </w:r>
      <w:r>
        <w:rPr>
          <w:b/>
          <w:bCs/>
        </w:rPr>
        <w:t xml:space="preserve"> tarihli </w:t>
      </w:r>
      <w:r>
        <w:rPr>
          <w:b/>
          <w:bCs/>
        </w:rPr>
        <w:t>Üçüncü</w:t>
      </w:r>
      <w:r>
        <w:rPr>
          <w:b/>
          <w:bCs/>
        </w:rPr>
        <w:t xml:space="preserve"> Birleşiminde Oybirliğiyle kabul olunan </w:t>
      </w:r>
      <w:r w:rsidRPr="00EC31FA">
        <w:rPr>
          <w:b/>
          <w:bCs/>
        </w:rPr>
        <w:t>“</w:t>
      </w:r>
      <w:r w:rsidRPr="00EC31FA">
        <w:rPr>
          <w:b/>
        </w:rPr>
        <w:t>65/2005 Sayılı Kuzey Kıbrıs Türk Cumhuriyeti Yükseköğretim Yasası Tahtında Faaliyet Gösteren Yükseköğretim Kurumlarından İlişiği Kesilenlere Öğrenimlerine Devam Edebilme Hakkı Verilmesine İlişkin (Geçici Kurallar)</w:t>
      </w:r>
      <w:r w:rsidRPr="00A94881">
        <w:t xml:space="preserve"> </w:t>
      </w:r>
      <w:r>
        <w:rPr>
          <w:b/>
          <w:bCs/>
        </w:rPr>
        <w:t xml:space="preserve">(Değişiklik) Yasası” Anayasanın 94’üncü maddesinin (1)’inci fıkrası gereğince Kuzey Kıbrıs Türk Cumhuriyeti Cumhurbaşkanı tarafından Resmi </w:t>
      </w:r>
      <w:proofErr w:type="spellStart"/>
      <w:r>
        <w:rPr>
          <w:b/>
          <w:bCs/>
        </w:rPr>
        <w:t>Gazete’de</w:t>
      </w:r>
      <w:proofErr w:type="spellEnd"/>
      <w:r>
        <w:rPr>
          <w:b/>
          <w:bCs/>
        </w:rPr>
        <w:t xml:space="preserve"> yayımlanmak suretiyle ilan olunur.</w:t>
      </w:r>
      <w:proofErr w:type="gramEnd"/>
    </w:p>
    <w:p w:rsidR="00EC31FA" w:rsidRDefault="00EC31FA" w:rsidP="00EC31FA">
      <w:pPr>
        <w:jc w:val="both"/>
      </w:pPr>
    </w:p>
    <w:p w:rsidR="00EC31FA" w:rsidRDefault="00EC31FA" w:rsidP="00EC31FA">
      <w:pPr>
        <w:jc w:val="center"/>
      </w:pPr>
      <w:r>
        <w:t>Sayı:30/2018</w:t>
      </w:r>
      <w:bookmarkStart w:id="0" w:name="_GoBack"/>
      <w:bookmarkEnd w:id="0"/>
    </w:p>
    <w:p w:rsidR="00EC31FA" w:rsidRDefault="00EC31FA" w:rsidP="00EC31FA">
      <w:pPr>
        <w:jc w:val="center"/>
      </w:pPr>
    </w:p>
    <w:p w:rsidR="00EC31FA" w:rsidRDefault="00EC31FA"/>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288"/>
        <w:gridCol w:w="1276"/>
        <w:gridCol w:w="425"/>
        <w:gridCol w:w="567"/>
        <w:gridCol w:w="567"/>
        <w:gridCol w:w="4011"/>
        <w:gridCol w:w="66"/>
      </w:tblGrid>
      <w:tr w:rsidR="0047487D" w:rsidRPr="00A94881" w:rsidTr="0047487D">
        <w:trPr>
          <w:gridAfter w:val="1"/>
          <w:wAfter w:w="66" w:type="dxa"/>
        </w:trPr>
        <w:tc>
          <w:tcPr>
            <w:tcW w:w="9222" w:type="dxa"/>
            <w:gridSpan w:val="7"/>
            <w:hideMark/>
          </w:tcPr>
          <w:p w:rsidR="0047487D" w:rsidRPr="00A94881" w:rsidRDefault="0047487D">
            <w:pPr>
              <w:jc w:val="center"/>
            </w:pPr>
            <w:r w:rsidRPr="00A94881">
              <w:t>65/2005 SAYILI KUZEY KIBRIS TÜRK CUMHURİYETİ YÜKSEKÖĞRETİM YASASI TAHTINDA FAALİYET GÖSTEREN YÜKSEKÖĞRETİM KURUMLARINDAN İLİŞİĞİ KESİLENLERE ÖĞRENİMLERİNE DEVAM EDEBİLME HAKKI VERİLMESİNE İLİŞKİN   (GEÇİCİ KURALLAR) (DEĞİŞİKLİK) YASA</w:t>
            </w:r>
            <w:r w:rsidR="00406218">
              <w:t>SI</w:t>
            </w:r>
          </w:p>
          <w:p w:rsidR="00EB0567" w:rsidRPr="00A94881" w:rsidRDefault="00EB0567">
            <w:pPr>
              <w:jc w:val="center"/>
            </w:pPr>
          </w:p>
          <w:p w:rsidR="001B004F" w:rsidRPr="00A94881" w:rsidRDefault="001B004F">
            <w:pPr>
              <w:jc w:val="center"/>
            </w:pPr>
          </w:p>
        </w:tc>
      </w:tr>
      <w:tr w:rsidR="0047487D" w:rsidRPr="00A94881" w:rsidTr="0047487D">
        <w:trPr>
          <w:gridAfter w:val="1"/>
          <w:wAfter w:w="66" w:type="dxa"/>
        </w:trPr>
        <w:tc>
          <w:tcPr>
            <w:tcW w:w="9222" w:type="dxa"/>
            <w:gridSpan w:val="7"/>
          </w:tcPr>
          <w:p w:rsidR="0047487D" w:rsidRPr="00A94881" w:rsidRDefault="0047487D">
            <w:pPr>
              <w:jc w:val="center"/>
            </w:pPr>
          </w:p>
        </w:tc>
      </w:tr>
      <w:tr w:rsidR="0047487D" w:rsidRPr="00A94881" w:rsidTr="0047487D">
        <w:trPr>
          <w:gridAfter w:val="1"/>
          <w:wAfter w:w="66" w:type="dxa"/>
        </w:trPr>
        <w:tc>
          <w:tcPr>
            <w:tcW w:w="2088" w:type="dxa"/>
          </w:tcPr>
          <w:p w:rsidR="0047487D" w:rsidRPr="00A94881" w:rsidRDefault="0047487D">
            <w:pPr>
              <w:jc w:val="both"/>
              <w:rPr>
                <w:b/>
              </w:rPr>
            </w:pPr>
          </w:p>
        </w:tc>
        <w:tc>
          <w:tcPr>
            <w:tcW w:w="7134" w:type="dxa"/>
            <w:gridSpan w:val="6"/>
            <w:hideMark/>
          </w:tcPr>
          <w:p w:rsidR="0047487D" w:rsidRPr="00A94881" w:rsidRDefault="0047487D">
            <w:pPr>
              <w:jc w:val="both"/>
              <w:rPr>
                <w:b/>
              </w:rPr>
            </w:pPr>
            <w:r w:rsidRPr="00A94881">
              <w:t xml:space="preserve">       Kuzey Kıbrıs Türk Cumhuriyeti Cumhuriyet Meclisi aşağıdaki Yasayı yapar:</w:t>
            </w:r>
          </w:p>
        </w:tc>
      </w:tr>
      <w:tr w:rsidR="0047487D" w:rsidRPr="00A94881" w:rsidTr="0047487D">
        <w:trPr>
          <w:gridAfter w:val="1"/>
          <w:wAfter w:w="66" w:type="dxa"/>
        </w:trPr>
        <w:tc>
          <w:tcPr>
            <w:tcW w:w="2088" w:type="dxa"/>
          </w:tcPr>
          <w:p w:rsidR="0047487D" w:rsidRPr="00A94881" w:rsidRDefault="0047487D">
            <w:pPr>
              <w:jc w:val="both"/>
              <w:rPr>
                <w:b/>
              </w:rPr>
            </w:pPr>
          </w:p>
        </w:tc>
        <w:tc>
          <w:tcPr>
            <w:tcW w:w="7134" w:type="dxa"/>
            <w:gridSpan w:val="6"/>
          </w:tcPr>
          <w:p w:rsidR="0047487D" w:rsidRPr="00A94881" w:rsidRDefault="0047487D">
            <w:pPr>
              <w:jc w:val="both"/>
            </w:pPr>
          </w:p>
        </w:tc>
      </w:tr>
      <w:tr w:rsidR="0047487D" w:rsidRPr="00A94881" w:rsidTr="0047487D">
        <w:trPr>
          <w:gridAfter w:val="1"/>
          <w:wAfter w:w="66" w:type="dxa"/>
        </w:trPr>
        <w:tc>
          <w:tcPr>
            <w:tcW w:w="2088" w:type="dxa"/>
            <w:hideMark/>
          </w:tcPr>
          <w:p w:rsidR="0047487D" w:rsidRPr="00A94881" w:rsidRDefault="0047487D">
            <w:r w:rsidRPr="00A94881">
              <w:t>Kısa İsim</w:t>
            </w:r>
          </w:p>
          <w:p w:rsidR="0047487D" w:rsidRPr="00A94881" w:rsidRDefault="0047487D">
            <w:r w:rsidRPr="00A94881">
              <w:t>29/2009</w:t>
            </w:r>
          </w:p>
          <w:p w:rsidR="0047487D" w:rsidRPr="00A94881" w:rsidRDefault="0047487D" w:rsidP="0011528D">
            <w:r w:rsidRPr="00A94881">
              <w:t xml:space="preserve">   40/2011</w:t>
            </w:r>
          </w:p>
          <w:p w:rsidR="0011528D" w:rsidRPr="00A94881" w:rsidRDefault="00AD1793" w:rsidP="0011528D">
            <w:r>
              <w:t xml:space="preserve">   42</w:t>
            </w:r>
            <w:r w:rsidR="0011528D" w:rsidRPr="00A94881">
              <w:t>/2015</w:t>
            </w:r>
          </w:p>
          <w:p w:rsidR="0011528D" w:rsidRPr="00A94881" w:rsidRDefault="0011528D" w:rsidP="0011528D"/>
        </w:tc>
        <w:tc>
          <w:tcPr>
            <w:tcW w:w="7134" w:type="dxa"/>
            <w:gridSpan w:val="6"/>
            <w:hideMark/>
          </w:tcPr>
          <w:p w:rsidR="0047487D" w:rsidRPr="00A94881" w:rsidRDefault="0047487D" w:rsidP="00F17E62">
            <w:pPr>
              <w:jc w:val="both"/>
            </w:pPr>
            <w:proofErr w:type="gramStart"/>
            <w:r w:rsidRPr="00A94881">
              <w:t>1. Bu Yasa, 65/2005 Sayılı Kuzey Kıbrıs Türk Cumhuriyeti Yükseköğretim Yasası Tahtında Faaliyet Gösteren Yükseköğretim Kurumlarından İlişiği Kesilenlere Öğrenimlerine Devam Edebilme Hakkı Verilmesine İlişkin (Geçici Kurallar) (Değişiklik) Yasası olarak isimlendirilir ve aşağıda “Esas Yasa” olarak anılan 65/2005 Sayılı Kuzey Kıbrıs Türk Cumhuriyeti Yükseköğretim Yasası Tahtında Faaliyet Gösteren Yükseköğretim Kurumlarından İlişiği Kesilenlere Öğrenimlerine Devam Edebilme Hakkı Verilmesine İlişkin (Geçici Kurallar) Yasası ile birlikte okunur.</w:t>
            </w:r>
            <w:proofErr w:type="gramEnd"/>
          </w:p>
        </w:tc>
      </w:tr>
      <w:tr w:rsidR="0011528D" w:rsidRPr="00A94881" w:rsidTr="0047487D">
        <w:trPr>
          <w:gridAfter w:val="1"/>
          <w:wAfter w:w="66" w:type="dxa"/>
        </w:trPr>
        <w:tc>
          <w:tcPr>
            <w:tcW w:w="2088" w:type="dxa"/>
          </w:tcPr>
          <w:p w:rsidR="0011528D" w:rsidRPr="00A94881" w:rsidRDefault="0011528D"/>
        </w:tc>
        <w:tc>
          <w:tcPr>
            <w:tcW w:w="7134" w:type="dxa"/>
            <w:gridSpan w:val="6"/>
          </w:tcPr>
          <w:p w:rsidR="0011528D" w:rsidRPr="00A94881" w:rsidRDefault="0011528D">
            <w:pPr>
              <w:jc w:val="both"/>
            </w:pPr>
          </w:p>
        </w:tc>
      </w:tr>
      <w:tr w:rsidR="0011528D" w:rsidRPr="00A94881" w:rsidTr="0047487D">
        <w:trPr>
          <w:gridAfter w:val="1"/>
          <w:wAfter w:w="66" w:type="dxa"/>
        </w:trPr>
        <w:tc>
          <w:tcPr>
            <w:tcW w:w="2088" w:type="dxa"/>
          </w:tcPr>
          <w:p w:rsidR="0011528D" w:rsidRPr="00A94881" w:rsidRDefault="00667D39" w:rsidP="001B004F">
            <w:r>
              <w:t>Geçici 1’inci Madde</w:t>
            </w:r>
            <w:r w:rsidR="0011528D" w:rsidRPr="00A94881">
              <w:t xml:space="preserve">nin </w:t>
            </w:r>
          </w:p>
        </w:tc>
        <w:tc>
          <w:tcPr>
            <w:tcW w:w="7134" w:type="dxa"/>
            <w:gridSpan w:val="6"/>
          </w:tcPr>
          <w:p w:rsidR="0011528D" w:rsidRPr="00A94881" w:rsidRDefault="0011528D">
            <w:pPr>
              <w:jc w:val="both"/>
            </w:pPr>
            <w:r w:rsidRPr="00A94881">
              <w:t>2. Esas Yasa, Geçici 1’</w:t>
            </w:r>
            <w:r w:rsidR="009527EB">
              <w:t>inci Madde</w:t>
            </w:r>
            <w:r w:rsidR="00667D39">
              <w:t>si</w:t>
            </w:r>
            <w:r w:rsidRPr="00A94881">
              <w:t xml:space="preserve"> kaldırılmak ve yerine aşağıdaki yeni</w:t>
            </w:r>
            <w:r w:rsidR="009527EB">
              <w:t xml:space="preserve"> Geçici</w:t>
            </w:r>
            <w:r w:rsidRPr="00A94881">
              <w:t xml:space="preserve"> 1’inci Madde konmak suretiyle değiştirilir:</w:t>
            </w:r>
          </w:p>
        </w:tc>
      </w:tr>
      <w:tr w:rsidR="004903EB" w:rsidRPr="00A94881" w:rsidTr="0047487D">
        <w:trPr>
          <w:gridAfter w:val="7"/>
          <w:wAfter w:w="7200" w:type="dxa"/>
        </w:trPr>
        <w:tc>
          <w:tcPr>
            <w:tcW w:w="2088" w:type="dxa"/>
          </w:tcPr>
          <w:p w:rsidR="004903EB" w:rsidRPr="00A94881" w:rsidRDefault="001B004F">
            <w:r w:rsidRPr="00A94881">
              <w:t>Değiştirilmesi</w:t>
            </w:r>
          </w:p>
        </w:tc>
      </w:tr>
      <w:tr w:rsidR="004903EB" w:rsidRPr="00A94881" w:rsidTr="004903EB">
        <w:tc>
          <w:tcPr>
            <w:tcW w:w="2088" w:type="dxa"/>
          </w:tcPr>
          <w:p w:rsidR="004903EB" w:rsidRPr="00A94881" w:rsidRDefault="004903EB"/>
        </w:tc>
        <w:tc>
          <w:tcPr>
            <w:tcW w:w="288" w:type="dxa"/>
          </w:tcPr>
          <w:p w:rsidR="004903EB" w:rsidRPr="00A94881" w:rsidRDefault="004903EB">
            <w:pPr>
              <w:jc w:val="both"/>
            </w:pPr>
          </w:p>
        </w:tc>
        <w:tc>
          <w:tcPr>
            <w:tcW w:w="1276" w:type="dxa"/>
          </w:tcPr>
          <w:p w:rsidR="004903EB" w:rsidRPr="00A94881" w:rsidRDefault="004903EB" w:rsidP="004903EB">
            <w:r w:rsidRPr="00A94881">
              <w:t xml:space="preserve">“Geçici Madde </w:t>
            </w:r>
          </w:p>
          <w:p w:rsidR="004903EB" w:rsidRPr="00A94881" w:rsidRDefault="004903EB" w:rsidP="004903EB">
            <w:r w:rsidRPr="00A94881">
              <w:t>Başvuru</w:t>
            </w:r>
          </w:p>
          <w:p w:rsidR="004903EB" w:rsidRPr="00A94881" w:rsidRDefault="004903EB" w:rsidP="004903EB">
            <w:pPr>
              <w:jc w:val="both"/>
            </w:pPr>
            <w:r w:rsidRPr="00A94881">
              <w:t>Süreleri</w:t>
            </w:r>
          </w:p>
        </w:tc>
        <w:tc>
          <w:tcPr>
            <w:tcW w:w="425" w:type="dxa"/>
          </w:tcPr>
          <w:p w:rsidR="004903EB" w:rsidRPr="00A94881" w:rsidRDefault="004903EB" w:rsidP="004903EB">
            <w:pPr>
              <w:jc w:val="both"/>
            </w:pPr>
            <w:r w:rsidRPr="00A94881">
              <w:t>1.</w:t>
            </w:r>
          </w:p>
        </w:tc>
        <w:tc>
          <w:tcPr>
            <w:tcW w:w="567" w:type="dxa"/>
          </w:tcPr>
          <w:p w:rsidR="004903EB" w:rsidRPr="00A94881" w:rsidRDefault="004903EB" w:rsidP="00706F53">
            <w:pPr>
              <w:jc w:val="both"/>
            </w:pPr>
            <w:r w:rsidRPr="00A94881">
              <w:t>(1)</w:t>
            </w:r>
          </w:p>
        </w:tc>
        <w:tc>
          <w:tcPr>
            <w:tcW w:w="567" w:type="dxa"/>
          </w:tcPr>
          <w:p w:rsidR="004903EB" w:rsidRPr="00A94881" w:rsidRDefault="004903EB" w:rsidP="00706F53">
            <w:pPr>
              <w:jc w:val="both"/>
            </w:pPr>
            <w:r w:rsidRPr="00A94881">
              <w:t>(A)</w:t>
            </w:r>
          </w:p>
        </w:tc>
        <w:tc>
          <w:tcPr>
            <w:tcW w:w="4077" w:type="dxa"/>
            <w:gridSpan w:val="2"/>
          </w:tcPr>
          <w:p w:rsidR="004903EB" w:rsidRPr="00A94881" w:rsidRDefault="004903EB" w:rsidP="00BE10AC">
            <w:pPr>
              <w:jc w:val="both"/>
            </w:pPr>
            <w:r w:rsidRPr="00A94881">
              <w:t>Bu Yasa kapsamında olan kişilere, bu (Değişiklik) Yasasının yürürlü</w:t>
            </w:r>
            <w:r w:rsidR="00BE10AC">
              <w:t>ğe girdiği tarihten başlayarak bir</w:t>
            </w:r>
            <w:r w:rsidRPr="00A94881">
              <w:t xml:space="preserve"> yıllık süre içerisinde ilişiklerinin kesildiği yükseköğretim kurumlarına başvuruda bulunmaları halinde kendilerine yükseköğrenimlerini tamamlama hakkı verilir.</w:t>
            </w:r>
          </w:p>
        </w:tc>
      </w:tr>
      <w:tr w:rsidR="00EB0567" w:rsidRPr="00A94881" w:rsidTr="004903EB">
        <w:tc>
          <w:tcPr>
            <w:tcW w:w="2088" w:type="dxa"/>
          </w:tcPr>
          <w:p w:rsidR="00EB0567" w:rsidRPr="00A94881" w:rsidRDefault="00EB0567"/>
        </w:tc>
        <w:tc>
          <w:tcPr>
            <w:tcW w:w="288" w:type="dxa"/>
          </w:tcPr>
          <w:p w:rsidR="00EB0567" w:rsidRPr="00A94881" w:rsidRDefault="00EB0567">
            <w:pPr>
              <w:jc w:val="both"/>
            </w:pPr>
          </w:p>
        </w:tc>
        <w:tc>
          <w:tcPr>
            <w:tcW w:w="1276" w:type="dxa"/>
          </w:tcPr>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p w:rsidR="00EB0567" w:rsidRPr="00A94881" w:rsidRDefault="00EB0567" w:rsidP="00706F53">
            <w:r w:rsidRPr="00A94881">
              <w:t>59/2000</w:t>
            </w:r>
          </w:p>
          <w:p w:rsidR="00EB0567" w:rsidRPr="00A94881" w:rsidRDefault="00EB0567" w:rsidP="00706F53">
            <w:pPr>
              <w:jc w:val="both"/>
            </w:pPr>
            <w:r w:rsidRPr="00A94881">
              <w:t xml:space="preserve">    43/2002</w:t>
            </w:r>
          </w:p>
          <w:p w:rsidR="00EB0567" w:rsidRPr="00A94881" w:rsidRDefault="00EB0567" w:rsidP="00706F53">
            <w:pPr>
              <w:jc w:val="both"/>
            </w:pPr>
            <w:r w:rsidRPr="00A94881">
              <w:t xml:space="preserve">    59/2003</w:t>
            </w:r>
          </w:p>
          <w:p w:rsidR="00EB0567" w:rsidRPr="00A94881" w:rsidRDefault="00EB0567" w:rsidP="00706F53">
            <w:pPr>
              <w:jc w:val="both"/>
            </w:pPr>
            <w:r w:rsidRPr="00A94881">
              <w:t xml:space="preserve">      4/2004</w:t>
            </w:r>
          </w:p>
          <w:p w:rsidR="00EB0567" w:rsidRPr="00A94881" w:rsidRDefault="00EB0567" w:rsidP="00706F53">
            <w:pPr>
              <w:jc w:val="both"/>
            </w:pPr>
            <w:r w:rsidRPr="00A94881">
              <w:t xml:space="preserve">      5/2005</w:t>
            </w:r>
          </w:p>
          <w:p w:rsidR="00EB0567" w:rsidRPr="00A94881" w:rsidRDefault="00EB0567" w:rsidP="00706F53">
            <w:pPr>
              <w:jc w:val="both"/>
            </w:pPr>
            <w:r w:rsidRPr="00A94881">
              <w:t xml:space="preserve">    22/2008</w:t>
            </w:r>
          </w:p>
          <w:p w:rsidR="00EB0567" w:rsidRPr="00A94881" w:rsidRDefault="00EB0567" w:rsidP="00706F53">
            <w:pPr>
              <w:jc w:val="both"/>
            </w:pPr>
            <w:r w:rsidRPr="00A94881">
              <w:t xml:space="preserve">    28/2008</w:t>
            </w:r>
          </w:p>
          <w:p w:rsidR="00EB0567" w:rsidRPr="00A94881" w:rsidRDefault="00EB0567" w:rsidP="00706F53">
            <w:r w:rsidRPr="00A94881">
              <w:t xml:space="preserve">    35/2009</w:t>
            </w:r>
          </w:p>
          <w:p w:rsidR="00EB0567" w:rsidRPr="00A94881" w:rsidRDefault="00EB0567" w:rsidP="00706F53">
            <w:r w:rsidRPr="00A94881">
              <w:t xml:space="preserve">    13/2012</w:t>
            </w:r>
          </w:p>
          <w:p w:rsidR="00EB0567" w:rsidRPr="00A94881" w:rsidRDefault="00EB0567" w:rsidP="00706F53">
            <w:r w:rsidRPr="00A94881">
              <w:t xml:space="preserve">    64/2014</w:t>
            </w:r>
          </w:p>
          <w:p w:rsidR="00EB0567" w:rsidRDefault="00EB0567" w:rsidP="00706F53">
            <w:r w:rsidRPr="00A94881">
              <w:t xml:space="preserve">      6/2015</w:t>
            </w:r>
          </w:p>
          <w:p w:rsidR="00CC464F" w:rsidRDefault="00CC464F" w:rsidP="00706F53">
            <w:r>
              <w:t xml:space="preserve">    64/2017</w:t>
            </w:r>
          </w:p>
          <w:p w:rsidR="00CC464F" w:rsidRPr="00A94881" w:rsidRDefault="00CC464F" w:rsidP="00706F53">
            <w:r>
              <w:t xml:space="preserve">    65/2017</w:t>
            </w:r>
          </w:p>
        </w:tc>
        <w:tc>
          <w:tcPr>
            <w:tcW w:w="425" w:type="dxa"/>
          </w:tcPr>
          <w:p w:rsidR="00EB0567" w:rsidRPr="00A94881" w:rsidRDefault="00EB0567" w:rsidP="004903EB">
            <w:pPr>
              <w:jc w:val="both"/>
            </w:pPr>
          </w:p>
        </w:tc>
        <w:tc>
          <w:tcPr>
            <w:tcW w:w="567" w:type="dxa"/>
          </w:tcPr>
          <w:p w:rsidR="00EB0567" w:rsidRPr="00A94881" w:rsidRDefault="00EB0567" w:rsidP="00706F53">
            <w:pPr>
              <w:jc w:val="both"/>
            </w:pPr>
          </w:p>
        </w:tc>
        <w:tc>
          <w:tcPr>
            <w:tcW w:w="567" w:type="dxa"/>
          </w:tcPr>
          <w:p w:rsidR="00EB0567" w:rsidRPr="00A94881" w:rsidRDefault="00EB0567" w:rsidP="00706F53">
            <w:pPr>
              <w:jc w:val="both"/>
            </w:pPr>
            <w:r w:rsidRPr="00A94881">
              <w:t>(B)</w:t>
            </w:r>
          </w:p>
        </w:tc>
        <w:tc>
          <w:tcPr>
            <w:tcW w:w="4077" w:type="dxa"/>
            <w:gridSpan w:val="2"/>
          </w:tcPr>
          <w:p w:rsidR="00EB0567" w:rsidRPr="00A94881" w:rsidRDefault="00EB0567" w:rsidP="00BE10AC">
            <w:pPr>
              <w:jc w:val="both"/>
            </w:pPr>
            <w:r w:rsidRPr="00A94881">
              <w:t>Bu (Değişiklik) Yasasının yürürlüğe girdiği tarihte askerlik görevini yapmakta ol</w:t>
            </w:r>
            <w:r w:rsidR="00BE10AC">
              <w:t>anlar, terhislerini takip eden</w:t>
            </w:r>
            <w:r w:rsidRPr="00A94881">
              <w:t xml:space="preserve"> üç ay içinde ilgili yükseköğretim </w:t>
            </w:r>
            <w:r w:rsidRPr="00A94881">
              <w:lastRenderedPageBreak/>
              <w:t>kurumuna başvurmaları halinde bu Yasanın 5’inci maddesinde belirtilen haklardan yararlandırılır. Müracaat süresi içinde askere alınmaları gereken Kuzey Kıbrıs Türk Cumhuriyeti yurttaşlarından, bu Yasada belirtilen hakları kullananların askerlikleri ertelenmiş sayılır. Bu Yasadan yararlanarak öğrenciliğe intibakları yapılan Kuzey Kıbrıs Türk Cumhuriyeti yurttaşlarının askerlik erteleme işlemleri hakkında Askerlik Yasasının 35’inci ve 36’ncı maddesi kuralları uygulanır. Bunlardan askere alınması gerekenlerin istemeleri halinde askerlik süresi boyu</w:t>
            </w:r>
            <w:r w:rsidR="00BE10AC">
              <w:t>nca öğrenim hakları dondurulur.</w:t>
            </w:r>
          </w:p>
        </w:tc>
      </w:tr>
      <w:tr w:rsidR="00EB0567" w:rsidRPr="00A94881" w:rsidTr="003F0030">
        <w:tc>
          <w:tcPr>
            <w:tcW w:w="2088" w:type="dxa"/>
          </w:tcPr>
          <w:p w:rsidR="00EB0567" w:rsidRPr="00A94881" w:rsidRDefault="00EB0567"/>
        </w:tc>
        <w:tc>
          <w:tcPr>
            <w:tcW w:w="288" w:type="dxa"/>
          </w:tcPr>
          <w:p w:rsidR="00EB0567" w:rsidRPr="00A94881" w:rsidRDefault="00EB0567">
            <w:pPr>
              <w:jc w:val="both"/>
            </w:pPr>
          </w:p>
        </w:tc>
        <w:tc>
          <w:tcPr>
            <w:tcW w:w="1276" w:type="dxa"/>
          </w:tcPr>
          <w:p w:rsidR="00EB0567" w:rsidRPr="00A94881" w:rsidRDefault="00EB0567">
            <w:pPr>
              <w:jc w:val="both"/>
            </w:pPr>
          </w:p>
        </w:tc>
        <w:tc>
          <w:tcPr>
            <w:tcW w:w="425" w:type="dxa"/>
          </w:tcPr>
          <w:p w:rsidR="00EB0567" w:rsidRPr="00A94881" w:rsidRDefault="00EB0567" w:rsidP="004903EB">
            <w:pPr>
              <w:jc w:val="both"/>
            </w:pPr>
          </w:p>
        </w:tc>
        <w:tc>
          <w:tcPr>
            <w:tcW w:w="567" w:type="dxa"/>
          </w:tcPr>
          <w:p w:rsidR="00EB0567" w:rsidRPr="00A94881" w:rsidRDefault="00EB0567" w:rsidP="00706F53">
            <w:pPr>
              <w:jc w:val="both"/>
            </w:pPr>
            <w:r w:rsidRPr="00A94881">
              <w:t>(2)</w:t>
            </w:r>
          </w:p>
        </w:tc>
        <w:tc>
          <w:tcPr>
            <w:tcW w:w="4644" w:type="dxa"/>
            <w:gridSpan w:val="3"/>
          </w:tcPr>
          <w:p w:rsidR="00EB0567" w:rsidRPr="00A94881" w:rsidRDefault="00EB0567" w:rsidP="004903EB">
            <w:pPr>
              <w:jc w:val="both"/>
            </w:pPr>
            <w:proofErr w:type="gramStart"/>
            <w:r w:rsidRPr="00A94881">
              <w:t xml:space="preserve">Bu Yasa kapsamında olup da yukarıdaki (1)’inci fıkrada belirtilen başvuru süresi sonuna kadar, yükseköğretim kurumlarınca haklarında ilişik kesme işlemi gerçekleştirilmiş, ancak ilişik kesme işlemine karşı idari yargı mercilerine başvurmuş olanlar da yukarıdaki (1)’inci fıkrada belirtilen başvuru süresi içerisinde ilgili yükseköğretim kurumuna başvurmaları halinde, bu Yasanın 5’inci maddesinde belirtilen haklardan yararlanırlar. </w:t>
            </w:r>
            <w:proofErr w:type="gramEnd"/>
            <w:r w:rsidRPr="00A94881">
              <w:t>Davanın davacının aleyhine sonuçlanması, kişinin bu Yasanın 5’inci maddesinde belirtilen haklardan yararlanmasına engel teşkil etmez.</w:t>
            </w:r>
          </w:p>
        </w:tc>
      </w:tr>
      <w:tr w:rsidR="00254D92" w:rsidRPr="00A94881" w:rsidTr="003F0030">
        <w:tc>
          <w:tcPr>
            <w:tcW w:w="2088" w:type="dxa"/>
          </w:tcPr>
          <w:p w:rsidR="00254D92" w:rsidRPr="00A94881" w:rsidRDefault="00254D92"/>
        </w:tc>
        <w:tc>
          <w:tcPr>
            <w:tcW w:w="288" w:type="dxa"/>
          </w:tcPr>
          <w:p w:rsidR="00254D92" w:rsidRPr="00A94881" w:rsidRDefault="00254D92">
            <w:pPr>
              <w:jc w:val="both"/>
            </w:pPr>
          </w:p>
        </w:tc>
        <w:tc>
          <w:tcPr>
            <w:tcW w:w="1276" w:type="dxa"/>
          </w:tcPr>
          <w:p w:rsidR="00254D92" w:rsidRPr="00A94881" w:rsidRDefault="00254D92">
            <w:pPr>
              <w:jc w:val="both"/>
            </w:pPr>
          </w:p>
        </w:tc>
        <w:tc>
          <w:tcPr>
            <w:tcW w:w="425" w:type="dxa"/>
          </w:tcPr>
          <w:p w:rsidR="00254D92" w:rsidRPr="00A94881" w:rsidRDefault="00254D92" w:rsidP="004903EB">
            <w:pPr>
              <w:jc w:val="both"/>
            </w:pPr>
          </w:p>
        </w:tc>
        <w:tc>
          <w:tcPr>
            <w:tcW w:w="567" w:type="dxa"/>
          </w:tcPr>
          <w:p w:rsidR="00254D92" w:rsidRPr="00A94881" w:rsidRDefault="00F016A2" w:rsidP="00706F53">
            <w:pPr>
              <w:jc w:val="both"/>
            </w:pPr>
            <w:r>
              <w:t>(3)</w:t>
            </w:r>
          </w:p>
        </w:tc>
        <w:tc>
          <w:tcPr>
            <w:tcW w:w="4644" w:type="dxa"/>
            <w:gridSpan w:val="3"/>
          </w:tcPr>
          <w:p w:rsidR="00254D92" w:rsidRPr="00A94881" w:rsidRDefault="00F016A2" w:rsidP="00F016A2">
            <w:pPr>
              <w:jc w:val="both"/>
            </w:pPr>
            <w:r>
              <w:t>Yukarıda belirtilen 1’inci ve 2’nci fıkralardaki haklardan, Atatürk Öğretmen Akademisinden ilişiği kesilen öğrenciler de yararlanır.”</w:t>
            </w:r>
          </w:p>
        </w:tc>
      </w:tr>
      <w:tr w:rsidR="00F016A2" w:rsidRPr="00A94881" w:rsidTr="003F0030">
        <w:tc>
          <w:tcPr>
            <w:tcW w:w="2088" w:type="dxa"/>
          </w:tcPr>
          <w:p w:rsidR="00F016A2" w:rsidRPr="00A94881" w:rsidRDefault="00F016A2"/>
        </w:tc>
        <w:tc>
          <w:tcPr>
            <w:tcW w:w="288" w:type="dxa"/>
          </w:tcPr>
          <w:p w:rsidR="00F016A2" w:rsidRPr="00A94881" w:rsidRDefault="00F016A2">
            <w:pPr>
              <w:jc w:val="both"/>
            </w:pPr>
          </w:p>
        </w:tc>
        <w:tc>
          <w:tcPr>
            <w:tcW w:w="1276" w:type="dxa"/>
          </w:tcPr>
          <w:p w:rsidR="00F016A2" w:rsidRPr="00A94881" w:rsidRDefault="00F016A2">
            <w:pPr>
              <w:jc w:val="both"/>
            </w:pPr>
          </w:p>
        </w:tc>
        <w:tc>
          <w:tcPr>
            <w:tcW w:w="425" w:type="dxa"/>
          </w:tcPr>
          <w:p w:rsidR="00F016A2" w:rsidRPr="00A94881" w:rsidRDefault="00F016A2" w:rsidP="004903EB">
            <w:pPr>
              <w:jc w:val="both"/>
            </w:pPr>
          </w:p>
        </w:tc>
        <w:tc>
          <w:tcPr>
            <w:tcW w:w="567" w:type="dxa"/>
          </w:tcPr>
          <w:p w:rsidR="00F016A2" w:rsidRDefault="00F016A2" w:rsidP="00706F53">
            <w:pPr>
              <w:jc w:val="both"/>
            </w:pPr>
          </w:p>
        </w:tc>
        <w:tc>
          <w:tcPr>
            <w:tcW w:w="4644" w:type="dxa"/>
            <w:gridSpan w:val="3"/>
          </w:tcPr>
          <w:p w:rsidR="00F016A2" w:rsidRDefault="00F016A2" w:rsidP="00F016A2">
            <w:pPr>
              <w:jc w:val="both"/>
            </w:pPr>
          </w:p>
        </w:tc>
      </w:tr>
      <w:tr w:rsidR="00EB0567" w:rsidRPr="00A94881" w:rsidTr="0047487D">
        <w:trPr>
          <w:gridAfter w:val="1"/>
          <w:wAfter w:w="66" w:type="dxa"/>
        </w:trPr>
        <w:tc>
          <w:tcPr>
            <w:tcW w:w="2088" w:type="dxa"/>
            <w:hideMark/>
          </w:tcPr>
          <w:p w:rsidR="00EB0567" w:rsidRPr="00A94881" w:rsidRDefault="00EB0567">
            <w:pPr>
              <w:jc w:val="both"/>
            </w:pPr>
            <w:r w:rsidRPr="00A94881">
              <w:t>Yürürlüğe Giriş</w:t>
            </w:r>
          </w:p>
        </w:tc>
        <w:tc>
          <w:tcPr>
            <w:tcW w:w="7134" w:type="dxa"/>
            <w:gridSpan w:val="6"/>
            <w:hideMark/>
          </w:tcPr>
          <w:p w:rsidR="00EB0567" w:rsidRPr="00A94881" w:rsidRDefault="00254D92">
            <w:pPr>
              <w:jc w:val="both"/>
            </w:pPr>
            <w:r w:rsidRPr="00A94881">
              <w:t>3</w:t>
            </w:r>
            <w:r w:rsidR="00EB0567" w:rsidRPr="00A94881">
              <w:t xml:space="preserve">. Bu Yasa, Resmi </w:t>
            </w:r>
            <w:proofErr w:type="spellStart"/>
            <w:r w:rsidR="00EB0567" w:rsidRPr="00A94881">
              <w:t>Gazete’de</w:t>
            </w:r>
            <w:proofErr w:type="spellEnd"/>
            <w:r w:rsidR="00EB0567" w:rsidRPr="00A94881">
              <w:t xml:space="preserve"> yayımlandığı tarihten başlayarak yürürlüğe girer.</w:t>
            </w:r>
          </w:p>
        </w:tc>
      </w:tr>
    </w:tbl>
    <w:p w:rsidR="0047487D" w:rsidRPr="00A94881" w:rsidRDefault="0047487D" w:rsidP="0047487D">
      <w:pPr>
        <w:jc w:val="both"/>
      </w:pPr>
    </w:p>
    <w:p w:rsidR="00661003" w:rsidRPr="00A94881" w:rsidRDefault="00661003"/>
    <w:sectPr w:rsidR="00661003" w:rsidRPr="00A948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E4"/>
    <w:rsid w:val="0011528D"/>
    <w:rsid w:val="001B004F"/>
    <w:rsid w:val="00254D92"/>
    <w:rsid w:val="00406218"/>
    <w:rsid w:val="0047487D"/>
    <w:rsid w:val="004903EB"/>
    <w:rsid w:val="00617710"/>
    <w:rsid w:val="00661003"/>
    <w:rsid w:val="00667D39"/>
    <w:rsid w:val="0069782D"/>
    <w:rsid w:val="007648E4"/>
    <w:rsid w:val="009527EB"/>
    <w:rsid w:val="009A6962"/>
    <w:rsid w:val="00A94881"/>
    <w:rsid w:val="00AD1793"/>
    <w:rsid w:val="00BE10AC"/>
    <w:rsid w:val="00CC464F"/>
    <w:rsid w:val="00EB0567"/>
    <w:rsid w:val="00EC31FA"/>
    <w:rsid w:val="00F016A2"/>
    <w:rsid w:val="00F1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7D"/>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87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7D"/>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87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227">
      <w:bodyDiv w:val="1"/>
      <w:marLeft w:val="0"/>
      <w:marRight w:val="0"/>
      <w:marTop w:val="0"/>
      <w:marBottom w:val="0"/>
      <w:divBdr>
        <w:top w:val="none" w:sz="0" w:space="0" w:color="auto"/>
        <w:left w:val="none" w:sz="0" w:space="0" w:color="auto"/>
        <w:bottom w:val="none" w:sz="0" w:space="0" w:color="auto"/>
        <w:right w:val="none" w:sz="0" w:space="0" w:color="auto"/>
      </w:divBdr>
    </w:div>
    <w:div w:id="19584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guliz.avkan</dc:creator>
  <cp:keywords/>
  <dc:description/>
  <cp:lastModifiedBy>guliz.avkan</cp:lastModifiedBy>
  <cp:revision>19</cp:revision>
  <dcterms:created xsi:type="dcterms:W3CDTF">2018-09-28T10:46:00Z</dcterms:created>
  <dcterms:modified xsi:type="dcterms:W3CDTF">2018-10-19T11:04:00Z</dcterms:modified>
</cp:coreProperties>
</file>