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58" w:rsidRDefault="00E01C58" w:rsidP="00E01C58">
      <w:pPr>
        <w:spacing w:after="0" w:line="240" w:lineRule="auto"/>
        <w:jc w:val="both"/>
        <w:rPr>
          <w:rFonts w:ascii="Times New Roman" w:eastAsia="Times New Roman" w:hAnsi="Times New Roman"/>
          <w:b/>
          <w:bCs/>
          <w:sz w:val="24"/>
          <w:szCs w:val="24"/>
          <w:lang w:eastAsia="tr-TR"/>
        </w:rPr>
      </w:pPr>
      <w:proofErr w:type="gramStart"/>
      <w:r w:rsidRPr="00E01C58">
        <w:rPr>
          <w:rFonts w:ascii="Times New Roman" w:eastAsia="Times New Roman" w:hAnsi="Times New Roman"/>
          <w:b/>
          <w:bCs/>
          <w:sz w:val="24"/>
          <w:szCs w:val="24"/>
          <w:lang w:eastAsia="tr-TR"/>
        </w:rPr>
        <w:t xml:space="preserve">Kuzey Kıbrıs Türk Cumhuriyeti Cumhuriyet Meclisi’nin 13 Haziran 2018 tarihli </w:t>
      </w:r>
      <w:proofErr w:type="spellStart"/>
      <w:r w:rsidRPr="00E01C58">
        <w:rPr>
          <w:rFonts w:ascii="Times New Roman" w:eastAsia="Times New Roman" w:hAnsi="Times New Roman"/>
          <w:b/>
          <w:bCs/>
          <w:sz w:val="24"/>
          <w:szCs w:val="24"/>
          <w:lang w:eastAsia="tr-TR"/>
        </w:rPr>
        <w:t>Otuzyedinci</w:t>
      </w:r>
      <w:proofErr w:type="spellEnd"/>
      <w:r w:rsidRPr="00E01C58">
        <w:rPr>
          <w:rFonts w:ascii="Times New Roman" w:eastAsia="Times New Roman" w:hAnsi="Times New Roman"/>
          <w:b/>
          <w:bCs/>
          <w:sz w:val="24"/>
          <w:szCs w:val="24"/>
          <w:lang w:eastAsia="tr-TR"/>
        </w:rPr>
        <w:t xml:space="preserve"> Birleşiminde Oyçokluğuyla kabul olunan “</w:t>
      </w:r>
      <w:r w:rsidRPr="00E01C58">
        <w:rPr>
          <w:rFonts w:ascii="Times New Roman" w:eastAsia="Times New Roman" w:hAnsi="Times New Roman"/>
          <w:b/>
          <w:bCs/>
          <w:sz w:val="24"/>
          <w:szCs w:val="24"/>
          <w:lang w:eastAsia="tr-TR"/>
        </w:rPr>
        <w:t>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(Değişiklik)</w:t>
      </w:r>
      <w:r>
        <w:rPr>
          <w:rFonts w:ascii="Times New Roman" w:eastAsia="Times New Roman" w:hAnsi="Times New Roman"/>
          <w:b/>
          <w:bCs/>
          <w:sz w:val="24"/>
          <w:szCs w:val="24"/>
          <w:lang w:eastAsia="tr-TR"/>
        </w:rPr>
        <w:t xml:space="preserve"> </w:t>
      </w:r>
      <w:r w:rsidRPr="00E01C58">
        <w:rPr>
          <w:rFonts w:ascii="Times New Roman" w:eastAsia="Times New Roman" w:hAnsi="Times New Roman"/>
          <w:b/>
          <w:bCs/>
          <w:sz w:val="24"/>
          <w:szCs w:val="24"/>
          <w:lang w:eastAsia="tr-TR"/>
        </w:rPr>
        <w:t>Yasası</w:t>
      </w:r>
      <w:r w:rsidRPr="00E01C58">
        <w:rPr>
          <w:rFonts w:ascii="Times New Roman" w:eastAsia="Times New Roman" w:hAnsi="Times New Roman"/>
          <w:b/>
          <w:bCs/>
          <w:sz w:val="24"/>
          <w:szCs w:val="24"/>
          <w:lang w:eastAsia="tr-TR"/>
        </w:rPr>
        <w:t xml:space="preserve">” Anayasanın 94’üncü maddesinin (1)’inci fıkrası gereğince Kuzey Kıbrıs Türk Cumhuriyeti Cumhurbaşkanı tarafından Resmi </w:t>
      </w:r>
      <w:proofErr w:type="spellStart"/>
      <w:r w:rsidRPr="00E01C58">
        <w:rPr>
          <w:rFonts w:ascii="Times New Roman" w:eastAsia="Times New Roman" w:hAnsi="Times New Roman"/>
          <w:b/>
          <w:bCs/>
          <w:sz w:val="24"/>
          <w:szCs w:val="24"/>
          <w:lang w:eastAsia="tr-TR"/>
        </w:rPr>
        <w:t>Gazete’de</w:t>
      </w:r>
      <w:proofErr w:type="spellEnd"/>
      <w:r w:rsidRPr="00E01C58">
        <w:rPr>
          <w:rFonts w:ascii="Times New Roman" w:eastAsia="Times New Roman" w:hAnsi="Times New Roman"/>
          <w:b/>
          <w:bCs/>
          <w:sz w:val="24"/>
          <w:szCs w:val="24"/>
          <w:lang w:eastAsia="tr-TR"/>
        </w:rPr>
        <w:t xml:space="preserve"> yayımlanmak suretiyle ilan olunur.</w:t>
      </w:r>
      <w:proofErr w:type="gramEnd"/>
    </w:p>
    <w:p w:rsidR="00E01C58" w:rsidRDefault="00E01C58" w:rsidP="00E01C58">
      <w:pPr>
        <w:spacing w:after="0" w:line="240" w:lineRule="auto"/>
        <w:jc w:val="both"/>
        <w:rPr>
          <w:rFonts w:ascii="Times New Roman" w:eastAsia="Times New Roman" w:hAnsi="Times New Roman"/>
          <w:b/>
          <w:bCs/>
          <w:sz w:val="24"/>
          <w:szCs w:val="24"/>
          <w:lang w:eastAsia="tr-TR"/>
        </w:rPr>
      </w:pPr>
    </w:p>
    <w:p w:rsidR="00E01C58" w:rsidRPr="00E01C58" w:rsidRDefault="00E01C58" w:rsidP="00E01C58">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Sayı: 25/2018</w:t>
      </w:r>
      <w:bookmarkStart w:id="0" w:name="_GoBack"/>
      <w:bookmarkEnd w:id="0"/>
    </w:p>
    <w:p w:rsidR="00E01C58" w:rsidRDefault="00E01C58" w:rsidP="00E01C58">
      <w:pPr>
        <w:spacing w:after="0" w:line="240" w:lineRule="auto"/>
        <w:jc w:val="both"/>
        <w:rPr>
          <w:rFonts w:ascii="Times New Roman" w:eastAsia="Times New Roman" w:hAnsi="Times New Roman"/>
          <w:sz w:val="26"/>
          <w:szCs w:val="26"/>
        </w:rPr>
      </w:pPr>
    </w:p>
    <w:tbl>
      <w:tblPr>
        <w:tblStyle w:val="TableGrid1"/>
        <w:tblW w:w="92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396"/>
        <w:gridCol w:w="635"/>
        <w:gridCol w:w="6628"/>
      </w:tblGrid>
      <w:tr w:rsidR="00E01C58" w:rsidTr="00E01C58">
        <w:tc>
          <w:tcPr>
            <w:tcW w:w="9288" w:type="dxa"/>
            <w:gridSpan w:val="4"/>
          </w:tcPr>
          <w:p w:rsidR="00E01C58" w:rsidRDefault="00E01C58">
            <w:pPr>
              <w:overflowPunct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ANAYASANIN 159’UNCU MADDESİNİN (1)’İNCİ FIKRASININ (b)</w:t>
            </w:r>
          </w:p>
          <w:p w:rsidR="00E01C58" w:rsidRDefault="00E01C58">
            <w:pPr>
              <w:overflowPunct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BENDİ KAPSAMINA GİREN, KUZEY KIBRIS TÜRK CUMHURİYETİ HUKUKUNA GÖRE MÜLKİYET HAKKI HERHANGİ BİR GERÇEK VEYA DEVLET DIŞINDAKİ TÜZEL KİŞİYE AİT OLMAYAN VE TASARRUF HAKKI HALEN BİR GERÇEK VEYA TÜZEL KİŞİYE VEYA KUZEY KIBRIS TÜRK CUMHURİYETİ DEVLETİNE AİT BULUNAN TAŞINMAZ MALLAR ÜZERİNDEKİ HAKLARIN DEVRİ VE KAYDEDİLMESİ (DEĞİŞİKLİK) YASASI</w:t>
            </w:r>
          </w:p>
          <w:p w:rsidR="00E01C58" w:rsidRDefault="00E01C58" w:rsidP="00E01C58">
            <w:pPr>
              <w:overflowPunct w:val="0"/>
              <w:autoSpaceDE w:val="0"/>
              <w:autoSpaceDN w:val="0"/>
              <w:adjustRightInd w:val="0"/>
              <w:rPr>
                <w:rFonts w:ascii="Times New Roman" w:eastAsia="Times New Roman" w:hAnsi="Times New Roman"/>
                <w:sz w:val="24"/>
                <w:szCs w:val="24"/>
              </w:rPr>
            </w:pPr>
          </w:p>
        </w:tc>
      </w:tr>
      <w:tr w:rsidR="00E01C58" w:rsidTr="00E01C58">
        <w:tc>
          <w:tcPr>
            <w:tcW w:w="9288" w:type="dxa"/>
            <w:gridSpan w:val="4"/>
          </w:tcPr>
          <w:p w:rsidR="00E01C58" w:rsidRDefault="00E01C58">
            <w:pPr>
              <w:overflowPunct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                           Kuzey Kıbrıs Türk Cumhuriyeti Cumhuriyet Meclisi aşağıdaki Yasayı yapar:</w:t>
            </w:r>
          </w:p>
          <w:p w:rsidR="00E01C58" w:rsidRDefault="00E01C58">
            <w:pPr>
              <w:overflowPunct w:val="0"/>
              <w:autoSpaceDE w:val="0"/>
              <w:autoSpaceDN w:val="0"/>
              <w:adjustRightInd w:val="0"/>
              <w:jc w:val="center"/>
              <w:rPr>
                <w:rFonts w:ascii="Times New Roman" w:eastAsia="Times New Roman" w:hAnsi="Times New Roman"/>
                <w:b/>
                <w:sz w:val="24"/>
                <w:szCs w:val="24"/>
              </w:rPr>
            </w:pPr>
          </w:p>
        </w:tc>
      </w:tr>
      <w:tr w:rsidR="00E01C58" w:rsidTr="00E01C58">
        <w:trPr>
          <w:trHeight w:val="3478"/>
        </w:trPr>
        <w:tc>
          <w:tcPr>
            <w:tcW w:w="1629" w:type="dxa"/>
            <w:hideMark/>
          </w:tcPr>
          <w:p w:rsidR="00E01C58" w:rsidRDefault="00E01C58">
            <w:pPr>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      Kısa İsim</w:t>
            </w:r>
          </w:p>
          <w:p w:rsidR="00E01C58" w:rsidRDefault="00E01C58">
            <w:pPr>
              <w:overflowPunct w:val="0"/>
              <w:autoSpaceDE w:val="0"/>
              <w:autoSpaceDN w:val="0"/>
              <w:adjustRightInd w:val="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 xml:space="preserve">13/2008   </w:t>
            </w:r>
          </w:p>
        </w:tc>
        <w:tc>
          <w:tcPr>
            <w:tcW w:w="7659" w:type="dxa"/>
            <w:gridSpan w:val="3"/>
            <w:hideMark/>
          </w:tcPr>
          <w:p w:rsidR="00E01C58" w:rsidRDefault="00E01C58">
            <w:pPr>
              <w:overflowPunct w:val="0"/>
              <w:autoSpaceDE w:val="0"/>
              <w:autoSpaceDN w:val="0"/>
              <w:adjustRightInd w:val="0"/>
              <w:jc w:val="both"/>
              <w:rPr>
                <w:rFonts w:ascii="Times New Roman" w:eastAsia="Times New Roman" w:hAnsi="Times New Roman"/>
                <w:b/>
                <w:sz w:val="24"/>
                <w:szCs w:val="24"/>
              </w:rPr>
            </w:pPr>
            <w:proofErr w:type="gramStart"/>
            <w:r>
              <w:rPr>
                <w:rFonts w:ascii="Times New Roman" w:eastAsia="Times New Roman" w:hAnsi="Times New Roman"/>
                <w:sz w:val="24"/>
                <w:szCs w:val="24"/>
              </w:rPr>
              <w:t>1. Bu Yasa 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(Değişiklik)Yasası olarak isimlendirilir ve aşağıda ‘‘Esas Yasa’’ olarak anılan 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Yasası ile birlikte okunur.</w:t>
            </w:r>
            <w:proofErr w:type="gramEnd"/>
          </w:p>
        </w:tc>
      </w:tr>
      <w:tr w:rsidR="00E01C58" w:rsidTr="00E01C58">
        <w:trPr>
          <w:trHeight w:val="312"/>
        </w:trPr>
        <w:tc>
          <w:tcPr>
            <w:tcW w:w="1629" w:type="dxa"/>
          </w:tcPr>
          <w:p w:rsidR="00E01C58" w:rsidRDefault="00E01C58">
            <w:pPr>
              <w:overflowPunct w:val="0"/>
              <w:autoSpaceDE w:val="0"/>
              <w:autoSpaceDN w:val="0"/>
              <w:adjustRightInd w:val="0"/>
              <w:jc w:val="both"/>
              <w:rPr>
                <w:rFonts w:ascii="Times New Roman" w:eastAsia="Times New Roman" w:hAnsi="Times New Roman"/>
                <w:sz w:val="24"/>
                <w:szCs w:val="24"/>
              </w:rPr>
            </w:pPr>
          </w:p>
        </w:tc>
        <w:tc>
          <w:tcPr>
            <w:tcW w:w="7659" w:type="dxa"/>
            <w:gridSpan w:val="3"/>
          </w:tcPr>
          <w:p w:rsidR="00E01C58" w:rsidRDefault="00E01C58">
            <w:pPr>
              <w:overflowPunct w:val="0"/>
              <w:autoSpaceDE w:val="0"/>
              <w:autoSpaceDN w:val="0"/>
              <w:adjustRightInd w:val="0"/>
              <w:jc w:val="both"/>
              <w:rPr>
                <w:rFonts w:ascii="Times New Roman" w:eastAsia="Times New Roman" w:hAnsi="Times New Roman"/>
                <w:sz w:val="24"/>
                <w:szCs w:val="24"/>
              </w:rPr>
            </w:pPr>
          </w:p>
        </w:tc>
      </w:tr>
      <w:tr w:rsidR="00E01C58" w:rsidTr="00E01C58">
        <w:tc>
          <w:tcPr>
            <w:tcW w:w="1629" w:type="dxa"/>
            <w:hideMark/>
          </w:tcPr>
          <w:p w:rsidR="00E01C58" w:rsidRDefault="00E01C58">
            <w:pPr>
              <w:overflowPunct w:val="0"/>
              <w:autoSpaceDE w:val="0"/>
              <w:autoSpaceDN w:val="0"/>
              <w:adjustRightInd w:val="0"/>
              <w:ind w:right="-51"/>
              <w:jc w:val="both"/>
              <w:rPr>
                <w:rFonts w:ascii="Times New Roman" w:eastAsia="Times New Roman" w:hAnsi="Times New Roman"/>
                <w:sz w:val="24"/>
                <w:szCs w:val="24"/>
              </w:rPr>
            </w:pPr>
            <w:r>
              <w:rPr>
                <w:rFonts w:ascii="Times New Roman" w:eastAsia="Times New Roman" w:hAnsi="Times New Roman"/>
                <w:sz w:val="24"/>
                <w:szCs w:val="24"/>
              </w:rPr>
              <w:t xml:space="preserve">Esas Yasanın </w:t>
            </w:r>
          </w:p>
          <w:p w:rsidR="00E01C58" w:rsidRDefault="00E01C58">
            <w:pPr>
              <w:overflowPunct w:val="0"/>
              <w:autoSpaceDE w:val="0"/>
              <w:autoSpaceDN w:val="0"/>
              <w:adjustRightInd w:val="0"/>
              <w:ind w:right="-51"/>
              <w:jc w:val="both"/>
              <w:rPr>
                <w:rFonts w:ascii="Times New Roman" w:eastAsia="Times New Roman" w:hAnsi="Times New Roman"/>
                <w:sz w:val="24"/>
                <w:szCs w:val="24"/>
              </w:rPr>
            </w:pPr>
            <w:r>
              <w:rPr>
                <w:rFonts w:ascii="Times New Roman" w:eastAsia="Times New Roman" w:hAnsi="Times New Roman"/>
                <w:sz w:val="24"/>
                <w:szCs w:val="24"/>
              </w:rPr>
              <w:t>12’nci</w:t>
            </w:r>
          </w:p>
        </w:tc>
        <w:tc>
          <w:tcPr>
            <w:tcW w:w="7659" w:type="dxa"/>
            <w:gridSpan w:val="3"/>
            <w:hideMark/>
          </w:tcPr>
          <w:p w:rsidR="00E01C58" w:rsidRDefault="00E01C58">
            <w:pPr>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 Esas Yasa 12’nci maddesinin (2)’</w:t>
            </w:r>
            <w:proofErr w:type="spellStart"/>
            <w:r>
              <w:rPr>
                <w:rFonts w:ascii="Times New Roman" w:eastAsia="Times New Roman" w:hAnsi="Times New Roman"/>
                <w:sz w:val="24"/>
                <w:szCs w:val="24"/>
              </w:rPr>
              <w:t>nci</w:t>
            </w:r>
            <w:proofErr w:type="spellEnd"/>
            <w:r>
              <w:rPr>
                <w:rFonts w:ascii="Times New Roman" w:eastAsia="Times New Roman" w:hAnsi="Times New Roman"/>
                <w:sz w:val="24"/>
                <w:szCs w:val="24"/>
              </w:rPr>
              <w:t xml:space="preserve"> fıkrasının (A) bendi kaldırılmak ve yerine aşağıdaki yeni (A) bendi konmak suretiyle değiştirilir.</w:t>
            </w:r>
          </w:p>
        </w:tc>
      </w:tr>
      <w:tr w:rsidR="00E01C58" w:rsidTr="00E01C58">
        <w:tc>
          <w:tcPr>
            <w:tcW w:w="1629" w:type="dxa"/>
          </w:tcPr>
          <w:p w:rsidR="00E01C58" w:rsidRDefault="00E01C58">
            <w:pPr>
              <w:overflowPunct w:val="0"/>
              <w:autoSpaceDE w:val="0"/>
              <w:autoSpaceDN w:val="0"/>
              <w:adjustRightInd w:val="0"/>
              <w:ind w:right="-51"/>
              <w:jc w:val="both"/>
              <w:rPr>
                <w:rFonts w:ascii="Times New Roman" w:eastAsia="Times New Roman" w:hAnsi="Times New Roman"/>
                <w:sz w:val="24"/>
                <w:szCs w:val="24"/>
              </w:rPr>
            </w:pPr>
            <w:r>
              <w:rPr>
                <w:rFonts w:ascii="Times New Roman" w:eastAsia="Times New Roman" w:hAnsi="Times New Roman"/>
                <w:sz w:val="24"/>
                <w:szCs w:val="24"/>
              </w:rPr>
              <w:t>Maddesinin</w:t>
            </w:r>
          </w:p>
          <w:p w:rsidR="00E01C58" w:rsidRDefault="00E01C58">
            <w:pPr>
              <w:overflowPunct w:val="0"/>
              <w:autoSpaceDE w:val="0"/>
              <w:autoSpaceDN w:val="0"/>
              <w:adjustRightInd w:val="0"/>
              <w:ind w:right="-51"/>
              <w:jc w:val="both"/>
              <w:rPr>
                <w:rFonts w:ascii="Times New Roman" w:eastAsia="Times New Roman" w:hAnsi="Times New Roman"/>
                <w:sz w:val="24"/>
                <w:szCs w:val="24"/>
              </w:rPr>
            </w:pPr>
            <w:r>
              <w:rPr>
                <w:rFonts w:ascii="Times New Roman" w:eastAsia="Times New Roman" w:hAnsi="Times New Roman"/>
                <w:sz w:val="24"/>
                <w:szCs w:val="24"/>
              </w:rPr>
              <w:t xml:space="preserve">Değiştirilmesi </w:t>
            </w:r>
          </w:p>
          <w:p w:rsidR="00E01C58" w:rsidRDefault="00E01C58">
            <w:pPr>
              <w:overflowPunct w:val="0"/>
              <w:autoSpaceDE w:val="0"/>
              <w:autoSpaceDN w:val="0"/>
              <w:adjustRightInd w:val="0"/>
              <w:ind w:right="-51"/>
              <w:jc w:val="both"/>
              <w:rPr>
                <w:rFonts w:ascii="Times New Roman" w:eastAsia="Times New Roman" w:hAnsi="Times New Roman"/>
                <w:sz w:val="24"/>
                <w:szCs w:val="24"/>
              </w:rPr>
            </w:pPr>
          </w:p>
        </w:tc>
        <w:tc>
          <w:tcPr>
            <w:tcW w:w="396" w:type="dxa"/>
          </w:tcPr>
          <w:p w:rsidR="00E01C58" w:rsidRDefault="00E01C58">
            <w:pPr>
              <w:overflowPunct w:val="0"/>
              <w:autoSpaceDE w:val="0"/>
              <w:autoSpaceDN w:val="0"/>
              <w:adjustRightInd w:val="0"/>
              <w:jc w:val="both"/>
              <w:rPr>
                <w:rFonts w:ascii="Times New Roman" w:eastAsia="Times New Roman" w:hAnsi="Times New Roman"/>
                <w:sz w:val="24"/>
                <w:szCs w:val="24"/>
              </w:rPr>
            </w:pPr>
          </w:p>
        </w:tc>
        <w:tc>
          <w:tcPr>
            <w:tcW w:w="635" w:type="dxa"/>
          </w:tcPr>
          <w:p w:rsidR="00E01C58" w:rsidRDefault="00E01C58">
            <w:pPr>
              <w:overflowPunct w:val="0"/>
              <w:autoSpaceDE w:val="0"/>
              <w:autoSpaceDN w:val="0"/>
              <w:adjustRightInd w:val="0"/>
              <w:ind w:right="-51"/>
              <w:jc w:val="both"/>
              <w:rPr>
                <w:rFonts w:ascii="Times New Roman" w:eastAsia="Times New Roman" w:hAnsi="Times New Roman"/>
                <w:sz w:val="24"/>
                <w:szCs w:val="24"/>
              </w:rPr>
            </w:pPr>
          </w:p>
          <w:p w:rsidR="00E01C58" w:rsidRDefault="00E01C58">
            <w:pPr>
              <w:overflowPunct w:val="0"/>
              <w:autoSpaceDE w:val="0"/>
              <w:autoSpaceDN w:val="0"/>
              <w:adjustRightInd w:val="0"/>
              <w:ind w:right="-51"/>
              <w:jc w:val="both"/>
              <w:rPr>
                <w:rFonts w:ascii="Times New Roman" w:eastAsia="Times New Roman" w:hAnsi="Times New Roman"/>
                <w:sz w:val="24"/>
                <w:szCs w:val="24"/>
              </w:rPr>
            </w:pPr>
            <w:r>
              <w:rPr>
                <w:rFonts w:ascii="Times New Roman" w:eastAsia="Times New Roman" w:hAnsi="Times New Roman"/>
                <w:sz w:val="24"/>
                <w:szCs w:val="24"/>
              </w:rPr>
              <w:t>“(A)</w:t>
            </w:r>
          </w:p>
        </w:tc>
        <w:tc>
          <w:tcPr>
            <w:tcW w:w="6628" w:type="dxa"/>
          </w:tcPr>
          <w:p w:rsidR="00E01C58" w:rsidRDefault="00E01C58">
            <w:pPr>
              <w:overflowPunct w:val="0"/>
              <w:autoSpaceDE w:val="0"/>
              <w:autoSpaceDN w:val="0"/>
              <w:adjustRightInd w:val="0"/>
              <w:ind w:right="-51"/>
              <w:jc w:val="both"/>
              <w:rPr>
                <w:rFonts w:ascii="Times New Roman" w:eastAsia="Times New Roman" w:hAnsi="Times New Roman"/>
                <w:sz w:val="24"/>
                <w:szCs w:val="24"/>
              </w:rPr>
            </w:pPr>
          </w:p>
          <w:p w:rsidR="00E01C58" w:rsidRDefault="00E01C58">
            <w:pPr>
              <w:overflowPunct w:val="0"/>
              <w:autoSpaceDE w:val="0"/>
              <w:autoSpaceDN w:val="0"/>
              <w:adjustRightInd w:val="0"/>
              <w:ind w:right="-51"/>
              <w:jc w:val="both"/>
              <w:rPr>
                <w:rFonts w:ascii="Times New Roman" w:eastAsia="Times New Roman" w:hAnsi="Times New Roman"/>
                <w:sz w:val="24"/>
                <w:szCs w:val="24"/>
              </w:rPr>
            </w:pPr>
            <w:r>
              <w:rPr>
                <w:rFonts w:ascii="Times New Roman" w:eastAsia="Times New Roman" w:hAnsi="Times New Roman"/>
                <w:sz w:val="24"/>
                <w:szCs w:val="24"/>
              </w:rPr>
              <w:t xml:space="preserve">Bakanlıkta görev yapan ve </w:t>
            </w:r>
            <w:proofErr w:type="gramStart"/>
            <w:r>
              <w:rPr>
                <w:rFonts w:ascii="Times New Roman" w:eastAsia="Times New Roman" w:hAnsi="Times New Roman"/>
                <w:sz w:val="24"/>
                <w:szCs w:val="24"/>
              </w:rPr>
              <w:t>İskan</w:t>
            </w:r>
            <w:proofErr w:type="gramEnd"/>
            <w:r>
              <w:rPr>
                <w:rFonts w:ascii="Times New Roman" w:eastAsia="Times New Roman" w:hAnsi="Times New Roman"/>
                <w:sz w:val="24"/>
                <w:szCs w:val="24"/>
              </w:rPr>
              <w:t xml:space="preserve"> İşlerinden sorumlu Bakan tarafından yetkilendirilen Genel Koordinatör veya Müsteşar, (Başkan).”</w:t>
            </w:r>
          </w:p>
        </w:tc>
      </w:tr>
      <w:tr w:rsidR="00E01C58" w:rsidTr="00E01C58">
        <w:tc>
          <w:tcPr>
            <w:tcW w:w="1629" w:type="dxa"/>
          </w:tcPr>
          <w:p w:rsidR="00E01C58" w:rsidRDefault="00E01C58">
            <w:pPr>
              <w:overflowPunct w:val="0"/>
              <w:autoSpaceDE w:val="0"/>
              <w:autoSpaceDN w:val="0"/>
              <w:adjustRightInd w:val="0"/>
              <w:ind w:right="-51"/>
              <w:jc w:val="both"/>
              <w:rPr>
                <w:rFonts w:ascii="Times New Roman" w:eastAsia="Times New Roman" w:hAnsi="Times New Roman"/>
                <w:sz w:val="24"/>
                <w:szCs w:val="24"/>
              </w:rPr>
            </w:pPr>
          </w:p>
        </w:tc>
        <w:tc>
          <w:tcPr>
            <w:tcW w:w="396" w:type="dxa"/>
          </w:tcPr>
          <w:p w:rsidR="00E01C58" w:rsidRDefault="00E01C58">
            <w:pPr>
              <w:overflowPunct w:val="0"/>
              <w:autoSpaceDE w:val="0"/>
              <w:autoSpaceDN w:val="0"/>
              <w:adjustRightInd w:val="0"/>
              <w:jc w:val="both"/>
              <w:rPr>
                <w:rFonts w:ascii="Times New Roman" w:eastAsia="Times New Roman" w:hAnsi="Times New Roman"/>
                <w:sz w:val="24"/>
                <w:szCs w:val="24"/>
              </w:rPr>
            </w:pPr>
          </w:p>
        </w:tc>
        <w:tc>
          <w:tcPr>
            <w:tcW w:w="635" w:type="dxa"/>
          </w:tcPr>
          <w:p w:rsidR="00E01C58" w:rsidRDefault="00E01C58">
            <w:pPr>
              <w:overflowPunct w:val="0"/>
              <w:autoSpaceDE w:val="0"/>
              <w:autoSpaceDN w:val="0"/>
              <w:adjustRightInd w:val="0"/>
              <w:ind w:right="-51"/>
              <w:jc w:val="both"/>
              <w:rPr>
                <w:rFonts w:ascii="Times New Roman" w:eastAsia="Times New Roman" w:hAnsi="Times New Roman"/>
                <w:sz w:val="24"/>
                <w:szCs w:val="24"/>
              </w:rPr>
            </w:pPr>
          </w:p>
        </w:tc>
        <w:tc>
          <w:tcPr>
            <w:tcW w:w="6628" w:type="dxa"/>
          </w:tcPr>
          <w:p w:rsidR="00E01C58" w:rsidRDefault="00E01C58">
            <w:pPr>
              <w:overflowPunct w:val="0"/>
              <w:autoSpaceDE w:val="0"/>
              <w:autoSpaceDN w:val="0"/>
              <w:adjustRightInd w:val="0"/>
              <w:ind w:right="-51"/>
              <w:jc w:val="both"/>
              <w:rPr>
                <w:rFonts w:ascii="Times New Roman" w:eastAsia="Times New Roman" w:hAnsi="Times New Roman"/>
                <w:sz w:val="24"/>
                <w:szCs w:val="24"/>
              </w:rPr>
            </w:pPr>
          </w:p>
        </w:tc>
      </w:tr>
      <w:tr w:rsidR="00E01C58" w:rsidTr="00E01C58">
        <w:tc>
          <w:tcPr>
            <w:tcW w:w="1629" w:type="dxa"/>
            <w:hideMark/>
          </w:tcPr>
          <w:p w:rsidR="00E01C58" w:rsidRDefault="00E01C58">
            <w:pPr>
              <w:overflowPunct w:val="0"/>
              <w:autoSpaceDE w:val="0"/>
              <w:autoSpaceDN w:val="0"/>
              <w:adjustRightInd w:val="0"/>
              <w:ind w:right="-51"/>
              <w:jc w:val="both"/>
              <w:rPr>
                <w:rFonts w:ascii="Times New Roman" w:eastAsia="Times New Roman" w:hAnsi="Times New Roman"/>
                <w:sz w:val="24"/>
                <w:szCs w:val="24"/>
              </w:rPr>
            </w:pPr>
            <w:r>
              <w:rPr>
                <w:rFonts w:ascii="Times New Roman" w:eastAsia="Times New Roman" w:hAnsi="Times New Roman"/>
                <w:sz w:val="24"/>
                <w:szCs w:val="24"/>
              </w:rPr>
              <w:t>Yürürlüğe Giriş</w:t>
            </w:r>
          </w:p>
        </w:tc>
        <w:tc>
          <w:tcPr>
            <w:tcW w:w="7659" w:type="dxa"/>
            <w:gridSpan w:val="3"/>
            <w:hideMark/>
          </w:tcPr>
          <w:p w:rsidR="00E01C58" w:rsidRDefault="00E01C58">
            <w:pPr>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3. Bu Yasa,  Resmi </w:t>
            </w:r>
            <w:proofErr w:type="spellStart"/>
            <w:r>
              <w:rPr>
                <w:rFonts w:ascii="Times New Roman" w:eastAsia="Times New Roman" w:hAnsi="Times New Roman"/>
                <w:sz w:val="24"/>
                <w:szCs w:val="24"/>
              </w:rPr>
              <w:t>Gazete’de</w:t>
            </w:r>
            <w:proofErr w:type="spellEnd"/>
            <w:r>
              <w:rPr>
                <w:rFonts w:ascii="Times New Roman" w:eastAsia="Times New Roman" w:hAnsi="Times New Roman"/>
                <w:sz w:val="24"/>
                <w:szCs w:val="24"/>
              </w:rPr>
              <w:t xml:space="preserve"> yayımlandığı tarihten başlayarak yürürlüğe girer.</w:t>
            </w:r>
          </w:p>
        </w:tc>
      </w:tr>
    </w:tbl>
    <w:p w:rsidR="00E01C58" w:rsidRDefault="00E01C58" w:rsidP="00E01C58">
      <w:pPr>
        <w:spacing w:after="0" w:line="240" w:lineRule="auto"/>
        <w:rPr>
          <w:rFonts w:ascii="Times New Roman" w:eastAsia="Times New Roman" w:hAnsi="Times New Roman"/>
          <w:sz w:val="24"/>
          <w:szCs w:val="24"/>
          <w:lang w:eastAsia="tr-TR"/>
        </w:rPr>
      </w:pPr>
    </w:p>
    <w:p w:rsidR="00E01C58" w:rsidRDefault="00E01C58" w:rsidP="00E01C58"/>
    <w:p w:rsidR="00027202" w:rsidRDefault="00027202"/>
    <w:sectPr w:rsidR="00027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6"/>
    <w:rsid w:val="00027202"/>
    <w:rsid w:val="008A7E66"/>
    <w:rsid w:val="00E01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5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E01C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5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E01C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pinar gunduz</cp:lastModifiedBy>
  <cp:revision>2</cp:revision>
  <dcterms:created xsi:type="dcterms:W3CDTF">2018-07-09T10:36:00Z</dcterms:created>
  <dcterms:modified xsi:type="dcterms:W3CDTF">2018-07-09T10:36:00Z</dcterms:modified>
</cp:coreProperties>
</file>