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425"/>
        <w:gridCol w:w="1559"/>
        <w:gridCol w:w="567"/>
        <w:gridCol w:w="567"/>
        <w:gridCol w:w="4678"/>
      </w:tblGrid>
      <w:tr w:rsidR="00CD7D46" w:rsidRPr="00944FD9" w:rsidTr="0012062D">
        <w:trPr>
          <w:trHeight w:val="416"/>
        </w:trPr>
        <w:tc>
          <w:tcPr>
            <w:tcW w:w="9464" w:type="dxa"/>
            <w:gridSpan w:val="6"/>
          </w:tcPr>
          <w:p w:rsidR="009368F9" w:rsidRDefault="00CD7D46" w:rsidP="009368F9">
            <w:pPr>
              <w:jc w:val="both"/>
            </w:pPr>
            <w:r w:rsidRPr="00944FD9">
              <w:br w:type="page"/>
            </w:r>
          </w:p>
          <w:p w:rsidR="009368F9" w:rsidRPr="00944FD9" w:rsidRDefault="009368F9" w:rsidP="009368F9">
            <w:pPr>
              <w:jc w:val="both"/>
            </w:pPr>
            <w:r w:rsidRPr="009368F9">
              <w:t xml:space="preserve">Kuzey Kıbrıs Türk Cumhuriyeti Cumhuriyet Meclisi’nin </w:t>
            </w:r>
            <w:r w:rsidR="008B63B6">
              <w:t>20 Kasım 2017</w:t>
            </w:r>
            <w:bookmarkStart w:id="0" w:name="_GoBack"/>
            <w:bookmarkEnd w:id="0"/>
            <w:r w:rsidRPr="009368F9">
              <w:t xml:space="preserve"> tarihli </w:t>
            </w:r>
            <w:proofErr w:type="spellStart"/>
            <w:r w:rsidR="008B63B6">
              <w:t>Doksanbirinci</w:t>
            </w:r>
            <w:proofErr w:type="spellEnd"/>
            <w:r w:rsidRPr="009368F9">
              <w:t xml:space="preserve"> Birleşiminde Oy</w:t>
            </w:r>
            <w:r w:rsidR="008B63B6">
              <w:t>çokluğuyla</w:t>
            </w:r>
            <w:r w:rsidRPr="009368F9">
              <w:t xml:space="preserve"> kabul olunan “</w:t>
            </w:r>
            <w:r w:rsidR="008B63B6">
              <w:t>Kamu Çalışanlarının Aylık (Maaş-Ücret) ve Diğer Ödeneklerinin Düzenlenmesi (Değişiklik No:2) Yasası</w:t>
            </w:r>
            <w:r w:rsidRPr="009368F9">
              <w:t xml:space="preserve">” Anayasanın 94’üncü maddesinin (1)’inci fıkrası gereğince Kuzey Kıbrıs Türk Cumhuriyeti Cumhurbaşkanı tarafından Resmi </w:t>
            </w:r>
            <w:proofErr w:type="spellStart"/>
            <w:r w:rsidRPr="009368F9">
              <w:t>Gazete’de</w:t>
            </w:r>
            <w:proofErr w:type="spellEnd"/>
            <w:r w:rsidRPr="009368F9">
              <w:t xml:space="preserve"> yayımlanmak suretiyle ilan olunur.</w:t>
            </w:r>
          </w:p>
          <w:p w:rsidR="00CD7D46" w:rsidRPr="00944FD9" w:rsidRDefault="00CD7D46" w:rsidP="00102254">
            <w:pPr>
              <w:jc w:val="center"/>
            </w:pPr>
            <w:r w:rsidRPr="00944FD9">
              <w:t xml:space="preserve"> </w:t>
            </w:r>
          </w:p>
        </w:tc>
      </w:tr>
      <w:tr w:rsidR="009368F9" w:rsidRPr="00944FD9" w:rsidTr="0012062D">
        <w:trPr>
          <w:trHeight w:val="416"/>
        </w:trPr>
        <w:tc>
          <w:tcPr>
            <w:tcW w:w="9464" w:type="dxa"/>
            <w:gridSpan w:val="6"/>
          </w:tcPr>
          <w:p w:rsidR="009368F9" w:rsidRDefault="009368F9" w:rsidP="009368F9">
            <w:pPr>
              <w:jc w:val="center"/>
            </w:pPr>
            <w:r>
              <w:t>Sayı: 66/2017</w:t>
            </w:r>
          </w:p>
          <w:p w:rsidR="009368F9" w:rsidRPr="00944FD9" w:rsidRDefault="009368F9" w:rsidP="009368F9">
            <w:pPr>
              <w:jc w:val="center"/>
            </w:pPr>
          </w:p>
        </w:tc>
      </w:tr>
      <w:tr w:rsidR="009368F9" w:rsidRPr="00944FD9" w:rsidTr="0012062D">
        <w:trPr>
          <w:trHeight w:val="416"/>
        </w:trPr>
        <w:tc>
          <w:tcPr>
            <w:tcW w:w="9464" w:type="dxa"/>
            <w:gridSpan w:val="6"/>
          </w:tcPr>
          <w:p w:rsidR="009368F9" w:rsidRPr="00944FD9" w:rsidRDefault="009368F9" w:rsidP="009368F9">
            <w:pPr>
              <w:jc w:val="center"/>
            </w:pPr>
            <w:r w:rsidRPr="00944FD9">
              <w:t>KAMU ÇALIŞANLARININ AYLIK (MAAŞ-ÜCRET) VE DİĞER ÖDENEKLERİNİN</w:t>
            </w:r>
          </w:p>
          <w:p w:rsidR="009368F9" w:rsidRPr="00944FD9" w:rsidRDefault="009368F9" w:rsidP="009368F9">
            <w:pPr>
              <w:jc w:val="center"/>
            </w:pPr>
            <w:r w:rsidRPr="00944FD9">
              <w:t>DÜZENLENMESİ (DEĞİŞİKLİK NO:2) YASA</w:t>
            </w:r>
            <w:r>
              <w:t>SI</w:t>
            </w:r>
          </w:p>
        </w:tc>
      </w:tr>
      <w:tr w:rsidR="00CD7D46" w:rsidRPr="00944FD9" w:rsidTr="0012062D">
        <w:trPr>
          <w:trHeight w:val="416"/>
        </w:trPr>
        <w:tc>
          <w:tcPr>
            <w:tcW w:w="9464" w:type="dxa"/>
            <w:gridSpan w:val="6"/>
          </w:tcPr>
          <w:p w:rsidR="00CD7D46" w:rsidRPr="00944FD9" w:rsidRDefault="00CD7D46" w:rsidP="00CD7D46">
            <w:pPr>
              <w:jc w:val="center"/>
            </w:pPr>
          </w:p>
        </w:tc>
      </w:tr>
      <w:tr w:rsidR="00CD7D46" w:rsidRPr="00944FD9" w:rsidTr="0012062D">
        <w:tc>
          <w:tcPr>
            <w:tcW w:w="1668" w:type="dxa"/>
          </w:tcPr>
          <w:p w:rsidR="00CD7D46" w:rsidRPr="00944FD9" w:rsidRDefault="00CD7D46" w:rsidP="003C0B2B"/>
        </w:tc>
        <w:tc>
          <w:tcPr>
            <w:tcW w:w="7796" w:type="dxa"/>
            <w:gridSpan w:val="5"/>
          </w:tcPr>
          <w:p w:rsidR="00CD7D46" w:rsidRPr="00944FD9" w:rsidRDefault="00CD7D46" w:rsidP="003C0B2B">
            <w:r w:rsidRPr="00944FD9">
              <w:t xml:space="preserve">        Kuzey Kıbrıs Türk Cumhuriyeti Cumhuriyet Meclisi aşağıdaki Yasayı yapar:</w:t>
            </w:r>
          </w:p>
        </w:tc>
      </w:tr>
      <w:tr w:rsidR="00CD7D46" w:rsidRPr="00944FD9" w:rsidTr="0012062D">
        <w:tc>
          <w:tcPr>
            <w:tcW w:w="1668" w:type="dxa"/>
          </w:tcPr>
          <w:p w:rsidR="00CD7D46" w:rsidRPr="00944FD9" w:rsidRDefault="00CD7D46" w:rsidP="003C0B2B"/>
        </w:tc>
        <w:tc>
          <w:tcPr>
            <w:tcW w:w="7796" w:type="dxa"/>
            <w:gridSpan w:val="5"/>
          </w:tcPr>
          <w:p w:rsidR="00CD7D46" w:rsidRPr="00944FD9" w:rsidRDefault="00CD7D46" w:rsidP="003C0B2B"/>
        </w:tc>
      </w:tr>
      <w:tr w:rsidR="00CD7D46" w:rsidRPr="00944FD9" w:rsidTr="0012062D">
        <w:tc>
          <w:tcPr>
            <w:tcW w:w="1668" w:type="dxa"/>
          </w:tcPr>
          <w:p w:rsidR="00CD7D46" w:rsidRPr="00944FD9" w:rsidRDefault="00CD7D46" w:rsidP="00CD7D46">
            <w:r w:rsidRPr="00944FD9">
              <w:t>Kısa İsim</w:t>
            </w:r>
          </w:p>
          <w:p w:rsidR="00CD7D46" w:rsidRPr="00944FD9" w:rsidRDefault="00CD7D46" w:rsidP="00CD7D46">
            <w:r w:rsidRPr="00944FD9">
              <w:t xml:space="preserve">47/2010  </w:t>
            </w:r>
          </w:p>
          <w:p w:rsidR="00CD7D46" w:rsidRPr="00944FD9" w:rsidRDefault="00CD7D46" w:rsidP="00CD7D46">
            <w:r w:rsidRPr="00944FD9">
              <w:t xml:space="preserve">    33/2013 </w:t>
            </w:r>
          </w:p>
          <w:p w:rsidR="00CD7D46" w:rsidRPr="00944FD9" w:rsidRDefault="00CD7D46" w:rsidP="00CD7D46">
            <w:r w:rsidRPr="00944FD9">
              <w:t xml:space="preserve">    18/2014   </w:t>
            </w:r>
          </w:p>
          <w:p w:rsidR="00CD7D46" w:rsidRPr="00944FD9" w:rsidRDefault="00CD7D46" w:rsidP="00CD7D46">
            <w:r w:rsidRPr="00944FD9">
              <w:t xml:space="preserve">      4/2015 </w:t>
            </w:r>
          </w:p>
          <w:p w:rsidR="00CD7D46" w:rsidRPr="00944FD9" w:rsidRDefault="00CD7D46" w:rsidP="00CD7D46">
            <w:r w:rsidRPr="00944FD9">
              <w:t xml:space="preserve">    46/2015</w:t>
            </w:r>
          </w:p>
          <w:p w:rsidR="00D346B6" w:rsidRPr="00944FD9" w:rsidRDefault="00D346B6" w:rsidP="00CD7D46">
            <w:r w:rsidRPr="00944FD9">
              <w:t xml:space="preserve">    45/2017</w:t>
            </w:r>
          </w:p>
        </w:tc>
        <w:tc>
          <w:tcPr>
            <w:tcW w:w="7796" w:type="dxa"/>
            <w:gridSpan w:val="5"/>
          </w:tcPr>
          <w:p w:rsidR="00CD7D46" w:rsidRPr="00944FD9" w:rsidRDefault="00CD7D46" w:rsidP="00CD7D46">
            <w:pPr>
              <w:jc w:val="both"/>
            </w:pPr>
            <w:r w:rsidRPr="00944FD9">
              <w:t>1. Bu Yasa, Kamu Çalışanlarının Aylık (Maaş-Ücret) ve Diğer Ödeneklerinin Düzenlenmesi (Değişiklik</w:t>
            </w:r>
            <w:r w:rsidR="008152AB" w:rsidRPr="00944FD9">
              <w:t xml:space="preserve"> No:2</w:t>
            </w:r>
            <w:r w:rsidRPr="00944FD9">
              <w:t>) Yasası olarak isimlendirilir ve aşağıda “Esas Yasa” olarak anılan Kamu Çalışanlarının Aylık (Maaş-Ücret) ve Diğer Ödeneklerinin Düzenlenmesi Yasası ile birlikte okunur.</w:t>
            </w:r>
          </w:p>
        </w:tc>
      </w:tr>
      <w:tr w:rsidR="00CD7D46" w:rsidRPr="00944FD9" w:rsidTr="0012062D">
        <w:tc>
          <w:tcPr>
            <w:tcW w:w="1668" w:type="dxa"/>
          </w:tcPr>
          <w:p w:rsidR="00CD7D46" w:rsidRPr="00944FD9" w:rsidRDefault="00CD7D46" w:rsidP="003C0B2B"/>
        </w:tc>
        <w:tc>
          <w:tcPr>
            <w:tcW w:w="7796" w:type="dxa"/>
            <w:gridSpan w:val="5"/>
          </w:tcPr>
          <w:p w:rsidR="00CD7D46" w:rsidRPr="00944FD9" w:rsidRDefault="00CD7D46" w:rsidP="00CD7D46">
            <w:pPr>
              <w:jc w:val="both"/>
            </w:pPr>
          </w:p>
        </w:tc>
      </w:tr>
      <w:tr w:rsidR="00CD7D46" w:rsidRPr="00944FD9" w:rsidTr="0012062D">
        <w:tc>
          <w:tcPr>
            <w:tcW w:w="1668" w:type="dxa"/>
          </w:tcPr>
          <w:p w:rsidR="00CD7D46" w:rsidRPr="00944FD9" w:rsidRDefault="000D6D59" w:rsidP="0012062D">
            <w:r w:rsidRPr="00944FD9">
              <w:t xml:space="preserve">Esas Yasanın 15’inci </w:t>
            </w:r>
          </w:p>
        </w:tc>
        <w:tc>
          <w:tcPr>
            <w:tcW w:w="7796" w:type="dxa"/>
            <w:gridSpan w:val="5"/>
          </w:tcPr>
          <w:p w:rsidR="00CD7D46" w:rsidRPr="00944FD9" w:rsidRDefault="000D6D59" w:rsidP="0012062D">
            <w:pPr>
              <w:jc w:val="both"/>
            </w:pPr>
            <w:r w:rsidRPr="00944FD9">
              <w:t>2.   Esas Yasa, 15’inci maddesi kaldırılmak ve yerine aşağıdaki yeni 15’inci madde konmak suretiyle değiştirilir:</w:t>
            </w:r>
          </w:p>
        </w:tc>
      </w:tr>
      <w:tr w:rsidR="0012062D" w:rsidRPr="00944FD9" w:rsidTr="0012062D">
        <w:tc>
          <w:tcPr>
            <w:tcW w:w="1668" w:type="dxa"/>
          </w:tcPr>
          <w:p w:rsidR="0012062D" w:rsidRPr="00944FD9" w:rsidRDefault="0012062D" w:rsidP="0012062D">
            <w:r w:rsidRPr="00944FD9">
              <w:t>Maddesinin</w:t>
            </w:r>
          </w:p>
        </w:tc>
        <w:tc>
          <w:tcPr>
            <w:tcW w:w="1984" w:type="dxa"/>
            <w:gridSpan w:val="2"/>
          </w:tcPr>
          <w:p w:rsidR="0012062D" w:rsidRPr="00944FD9" w:rsidRDefault="0012062D" w:rsidP="0012062D">
            <w:pPr>
              <w:jc w:val="both"/>
            </w:pPr>
          </w:p>
        </w:tc>
        <w:tc>
          <w:tcPr>
            <w:tcW w:w="567" w:type="dxa"/>
          </w:tcPr>
          <w:p w:rsidR="0012062D" w:rsidRPr="00944FD9" w:rsidRDefault="0012062D" w:rsidP="0012062D">
            <w:pPr>
              <w:jc w:val="both"/>
            </w:pPr>
          </w:p>
        </w:tc>
        <w:tc>
          <w:tcPr>
            <w:tcW w:w="567" w:type="dxa"/>
          </w:tcPr>
          <w:p w:rsidR="0012062D" w:rsidRPr="00944FD9" w:rsidRDefault="0012062D" w:rsidP="0012062D">
            <w:pPr>
              <w:jc w:val="both"/>
            </w:pPr>
          </w:p>
        </w:tc>
        <w:tc>
          <w:tcPr>
            <w:tcW w:w="4678" w:type="dxa"/>
          </w:tcPr>
          <w:p w:rsidR="0012062D" w:rsidRPr="00944FD9" w:rsidRDefault="0012062D" w:rsidP="0012062D">
            <w:pPr>
              <w:jc w:val="both"/>
            </w:pPr>
          </w:p>
        </w:tc>
      </w:tr>
      <w:tr w:rsidR="0012062D" w:rsidRPr="00944FD9" w:rsidTr="0012062D">
        <w:tc>
          <w:tcPr>
            <w:tcW w:w="1668" w:type="dxa"/>
          </w:tcPr>
          <w:p w:rsidR="0012062D" w:rsidRPr="00944FD9" w:rsidRDefault="0012062D" w:rsidP="0012062D">
            <w:r w:rsidRPr="00944FD9">
              <w:t>Değiştirilmesi</w:t>
            </w:r>
          </w:p>
        </w:tc>
        <w:tc>
          <w:tcPr>
            <w:tcW w:w="425" w:type="dxa"/>
          </w:tcPr>
          <w:p w:rsidR="0012062D" w:rsidRPr="00944FD9" w:rsidRDefault="0012062D" w:rsidP="0012062D">
            <w:pPr>
              <w:jc w:val="both"/>
            </w:pPr>
          </w:p>
        </w:tc>
        <w:tc>
          <w:tcPr>
            <w:tcW w:w="1559" w:type="dxa"/>
          </w:tcPr>
          <w:p w:rsidR="0012062D" w:rsidRPr="00944FD9" w:rsidRDefault="0012062D" w:rsidP="0012062D">
            <w:r w:rsidRPr="00944FD9">
              <w:t>“Sınıflara İlişkin Ortak Kurallar</w:t>
            </w:r>
          </w:p>
        </w:tc>
        <w:tc>
          <w:tcPr>
            <w:tcW w:w="567" w:type="dxa"/>
          </w:tcPr>
          <w:p w:rsidR="0012062D" w:rsidRPr="00944FD9" w:rsidRDefault="0012062D" w:rsidP="0012062D">
            <w:pPr>
              <w:jc w:val="both"/>
            </w:pPr>
            <w:r w:rsidRPr="00944FD9">
              <w:t>15.</w:t>
            </w:r>
          </w:p>
        </w:tc>
        <w:tc>
          <w:tcPr>
            <w:tcW w:w="567" w:type="dxa"/>
          </w:tcPr>
          <w:p w:rsidR="0012062D" w:rsidRPr="00944FD9" w:rsidRDefault="0012062D" w:rsidP="0012062D">
            <w:pPr>
              <w:jc w:val="both"/>
            </w:pPr>
            <w:r w:rsidRPr="00944FD9">
              <w:t>(1)</w:t>
            </w:r>
          </w:p>
        </w:tc>
        <w:tc>
          <w:tcPr>
            <w:tcW w:w="4678" w:type="dxa"/>
          </w:tcPr>
          <w:p w:rsidR="0012062D" w:rsidRPr="00944FD9" w:rsidRDefault="0012062D" w:rsidP="009220EC">
            <w:pPr>
              <w:jc w:val="both"/>
            </w:pPr>
            <w:r w:rsidRPr="00944FD9">
              <w:t>Bu Yasanın yürürlüğe girdiği tarihten sonra kamu görevine girenlerin bulunduğu barem için öngörülen eğitim düzeyinin üzerinde eğitim yapması durumunda ilgili eğitim kurumundan mezun olmak koşuluyla her yıla bir kademe ilerlemesi olmak üzere bu şekilde en çok sekiz kademe ilerlemesi uygulanır.</w:t>
            </w:r>
          </w:p>
        </w:tc>
      </w:tr>
      <w:tr w:rsidR="0012062D" w:rsidRPr="00944FD9" w:rsidTr="0012062D">
        <w:tc>
          <w:tcPr>
            <w:tcW w:w="1668" w:type="dxa"/>
          </w:tcPr>
          <w:p w:rsidR="0012062D" w:rsidRPr="00944FD9" w:rsidRDefault="0012062D" w:rsidP="0012062D"/>
        </w:tc>
        <w:tc>
          <w:tcPr>
            <w:tcW w:w="425" w:type="dxa"/>
          </w:tcPr>
          <w:p w:rsidR="0012062D" w:rsidRPr="00944FD9" w:rsidRDefault="0012062D" w:rsidP="0012062D">
            <w:pPr>
              <w:jc w:val="both"/>
            </w:pPr>
          </w:p>
        </w:tc>
        <w:tc>
          <w:tcPr>
            <w:tcW w:w="1559" w:type="dxa"/>
          </w:tcPr>
          <w:p w:rsidR="0012062D" w:rsidRPr="00944FD9" w:rsidRDefault="0012062D" w:rsidP="0012062D"/>
        </w:tc>
        <w:tc>
          <w:tcPr>
            <w:tcW w:w="567" w:type="dxa"/>
          </w:tcPr>
          <w:p w:rsidR="0012062D" w:rsidRPr="00944FD9" w:rsidRDefault="0012062D" w:rsidP="0012062D">
            <w:pPr>
              <w:jc w:val="both"/>
            </w:pPr>
          </w:p>
        </w:tc>
        <w:tc>
          <w:tcPr>
            <w:tcW w:w="567" w:type="dxa"/>
          </w:tcPr>
          <w:p w:rsidR="0012062D" w:rsidRPr="00944FD9" w:rsidRDefault="0012062D" w:rsidP="0012062D">
            <w:pPr>
              <w:jc w:val="both"/>
            </w:pPr>
            <w:r w:rsidRPr="00944FD9">
              <w:t>(2)</w:t>
            </w:r>
          </w:p>
        </w:tc>
        <w:tc>
          <w:tcPr>
            <w:tcW w:w="4678" w:type="dxa"/>
          </w:tcPr>
          <w:p w:rsidR="0012062D" w:rsidRPr="00944FD9" w:rsidRDefault="0012062D" w:rsidP="0012062D">
            <w:pPr>
              <w:jc w:val="both"/>
            </w:pPr>
            <w:r w:rsidRPr="00944FD9">
              <w:t xml:space="preserve">Bulunduğu kadro görevi ile ilgili </w:t>
            </w:r>
            <w:proofErr w:type="gramStart"/>
            <w:r w:rsidR="00380A2C" w:rsidRPr="00944FD9">
              <w:t>yüksek öğrenim</w:t>
            </w:r>
            <w:proofErr w:type="gramEnd"/>
            <w:r w:rsidR="00380A2C" w:rsidRPr="00944FD9">
              <w:t xml:space="preserve"> üstü</w:t>
            </w:r>
            <w:r w:rsidRPr="00944FD9">
              <w:t xml:space="preserve"> </w:t>
            </w:r>
            <w:proofErr w:type="spellStart"/>
            <w:r w:rsidRPr="00944FD9">
              <w:t>master</w:t>
            </w:r>
            <w:proofErr w:type="spellEnd"/>
            <w:r w:rsidRPr="00944FD9">
              <w:t xml:space="preserve"> derecesi almış olanlar ile lisans üstü ihtisas sertifikası alanlara, gireceği kadro görevinde aranan koşullar arasında olmaması halinde, Başbakanlığa bağlı Personel İşleriyle Görevli Kurum tarafından bulunduğu kadro görevi ile ilgili uygunluk bildirimi verilmesi koşulu ile bulundukları derece içerisinde bir kademe ilerlemesi, tıpta uzmanlık belgesi alanlara ve doktora yapanlara bulundukları derece içerisinde üç kademe ilerlemesi uygulanır.</w:t>
            </w:r>
          </w:p>
          <w:p w:rsidR="0012062D" w:rsidRDefault="0012062D" w:rsidP="0012062D">
            <w:pPr>
              <w:jc w:val="both"/>
            </w:pPr>
            <w:r w:rsidRPr="00944FD9">
              <w:t xml:space="preserve">       Bulunduğu kadro görevi ile ilgili </w:t>
            </w:r>
            <w:proofErr w:type="spellStart"/>
            <w:r w:rsidRPr="00944FD9">
              <w:t>master</w:t>
            </w:r>
            <w:proofErr w:type="spellEnd"/>
            <w:r w:rsidRPr="00944FD9">
              <w:t xml:space="preserve"> derecesi alıp bir kademe ilerlemesinden yararlanan bir kamu görevlisine, bulunduğu kadro görevi ile ilgili doktora yapması halinde iki kademe ilerlemesi uygulanır.</w:t>
            </w:r>
          </w:p>
          <w:p w:rsidR="009368F9" w:rsidRPr="00944FD9" w:rsidRDefault="009368F9" w:rsidP="0012062D">
            <w:pPr>
              <w:jc w:val="both"/>
            </w:pPr>
          </w:p>
          <w:p w:rsidR="0012062D" w:rsidRPr="00944FD9" w:rsidRDefault="0012062D" w:rsidP="0012062D">
            <w:pPr>
              <w:jc w:val="both"/>
            </w:pPr>
            <w:r w:rsidRPr="00944FD9">
              <w:t xml:space="preserve">       Bu fıkra amaçları bakımından “</w:t>
            </w:r>
            <w:proofErr w:type="gramStart"/>
            <w:r w:rsidRPr="00944FD9">
              <w:t>lisans üstü</w:t>
            </w:r>
            <w:proofErr w:type="gramEnd"/>
            <w:r w:rsidRPr="00944FD9">
              <w:t xml:space="preserve"> ihtisas sertifikası”, en az bir öğrenim yılı süresine eşit bir süre öğrenim görmek koşuluyla alınmış olan ihtisas sertifikasını anlatır.”</w:t>
            </w:r>
          </w:p>
        </w:tc>
      </w:tr>
      <w:tr w:rsidR="009E466E" w:rsidRPr="00944FD9" w:rsidTr="0012062D">
        <w:tc>
          <w:tcPr>
            <w:tcW w:w="1668" w:type="dxa"/>
          </w:tcPr>
          <w:p w:rsidR="009E466E" w:rsidRPr="00944FD9" w:rsidRDefault="009E466E" w:rsidP="0012062D"/>
        </w:tc>
        <w:tc>
          <w:tcPr>
            <w:tcW w:w="425" w:type="dxa"/>
          </w:tcPr>
          <w:p w:rsidR="009E466E" w:rsidRPr="00944FD9" w:rsidRDefault="009E466E" w:rsidP="0012062D">
            <w:pPr>
              <w:jc w:val="both"/>
            </w:pPr>
          </w:p>
        </w:tc>
        <w:tc>
          <w:tcPr>
            <w:tcW w:w="1559" w:type="dxa"/>
          </w:tcPr>
          <w:p w:rsidR="009E466E" w:rsidRPr="00944FD9" w:rsidRDefault="009E466E" w:rsidP="0012062D"/>
        </w:tc>
        <w:tc>
          <w:tcPr>
            <w:tcW w:w="567" w:type="dxa"/>
          </w:tcPr>
          <w:p w:rsidR="009E466E" w:rsidRPr="00944FD9" w:rsidRDefault="009E466E" w:rsidP="0012062D">
            <w:pPr>
              <w:jc w:val="both"/>
            </w:pPr>
          </w:p>
        </w:tc>
        <w:tc>
          <w:tcPr>
            <w:tcW w:w="567" w:type="dxa"/>
          </w:tcPr>
          <w:p w:rsidR="009E466E" w:rsidRPr="00944FD9" w:rsidRDefault="009E466E" w:rsidP="0012062D">
            <w:pPr>
              <w:jc w:val="both"/>
            </w:pPr>
          </w:p>
        </w:tc>
        <w:tc>
          <w:tcPr>
            <w:tcW w:w="4678" w:type="dxa"/>
          </w:tcPr>
          <w:p w:rsidR="009E466E" w:rsidRPr="00944FD9" w:rsidRDefault="009E466E" w:rsidP="0012062D">
            <w:pPr>
              <w:jc w:val="both"/>
            </w:pPr>
          </w:p>
        </w:tc>
      </w:tr>
    </w:tbl>
    <w:p w:rsidR="00E37C9A" w:rsidRPr="00944FD9" w:rsidRDefault="00E37C9A">
      <w:r w:rsidRPr="00944FD9">
        <w:br w:type="page"/>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425"/>
        <w:gridCol w:w="709"/>
        <w:gridCol w:w="850"/>
        <w:gridCol w:w="5812"/>
      </w:tblGrid>
      <w:tr w:rsidR="009E466E" w:rsidRPr="00944FD9" w:rsidTr="005E36CD">
        <w:tc>
          <w:tcPr>
            <w:tcW w:w="1668" w:type="dxa"/>
          </w:tcPr>
          <w:p w:rsidR="00E37C9A" w:rsidRPr="00944FD9" w:rsidRDefault="00E37C9A" w:rsidP="00E37C9A">
            <w:r w:rsidRPr="00944FD9">
              <w:lastRenderedPageBreak/>
              <w:t>Esas Yasanın</w:t>
            </w:r>
          </w:p>
          <w:p w:rsidR="009E466E" w:rsidRPr="00944FD9" w:rsidRDefault="00E37C9A" w:rsidP="00E37C9A">
            <w:r w:rsidRPr="00944FD9">
              <w:t>22’nci Maddesinin</w:t>
            </w:r>
          </w:p>
        </w:tc>
        <w:tc>
          <w:tcPr>
            <w:tcW w:w="7796" w:type="dxa"/>
            <w:gridSpan w:val="4"/>
          </w:tcPr>
          <w:p w:rsidR="009E466E" w:rsidRPr="00944FD9" w:rsidRDefault="009E466E" w:rsidP="0012062D">
            <w:pPr>
              <w:jc w:val="both"/>
            </w:pPr>
            <w:r w:rsidRPr="00944FD9">
              <w:t xml:space="preserve">3. </w:t>
            </w:r>
            <w:r w:rsidR="00E37C9A" w:rsidRPr="00944FD9">
              <w:t>Esas Yasa, 22’nci maddesinin (3)’üncü fıkrası kaldırılmak ve yerine aşağıdaki yeni (3)’üncü fıkra konmak suretiyle değiştirilir:</w:t>
            </w:r>
          </w:p>
        </w:tc>
      </w:tr>
      <w:tr w:rsidR="00E37C9A" w:rsidRPr="00944FD9" w:rsidTr="00E37C9A">
        <w:tc>
          <w:tcPr>
            <w:tcW w:w="1668" w:type="dxa"/>
          </w:tcPr>
          <w:p w:rsidR="00E37C9A" w:rsidRPr="00944FD9" w:rsidRDefault="00E37C9A" w:rsidP="00E37C9A">
            <w:r w:rsidRPr="00944FD9">
              <w:t>Değiş</w:t>
            </w:r>
            <w:r w:rsidR="00382EB8">
              <w:t>t</w:t>
            </w:r>
            <w:r w:rsidRPr="00944FD9">
              <w:t>irilmesi</w:t>
            </w:r>
          </w:p>
        </w:tc>
        <w:tc>
          <w:tcPr>
            <w:tcW w:w="425" w:type="dxa"/>
          </w:tcPr>
          <w:p w:rsidR="00E37C9A" w:rsidRPr="00944FD9" w:rsidRDefault="00E37C9A" w:rsidP="0012062D">
            <w:pPr>
              <w:jc w:val="both"/>
            </w:pPr>
          </w:p>
        </w:tc>
        <w:tc>
          <w:tcPr>
            <w:tcW w:w="709" w:type="dxa"/>
          </w:tcPr>
          <w:p w:rsidR="00E37C9A" w:rsidRPr="00944FD9" w:rsidRDefault="00E37C9A" w:rsidP="0012062D">
            <w:pPr>
              <w:jc w:val="both"/>
            </w:pPr>
            <w:r w:rsidRPr="00944FD9">
              <w:t>“(3)</w:t>
            </w:r>
          </w:p>
        </w:tc>
        <w:tc>
          <w:tcPr>
            <w:tcW w:w="6662" w:type="dxa"/>
            <w:gridSpan w:val="2"/>
          </w:tcPr>
          <w:p w:rsidR="00E37C9A" w:rsidRPr="00944FD9" w:rsidRDefault="00E37C9A" w:rsidP="0012062D">
            <w:pPr>
              <w:jc w:val="both"/>
            </w:pPr>
            <w:r w:rsidRPr="00944FD9">
              <w:t>Herhangi bir hizmet sınıfına atanan bir kamu çalışanı, ilgili maddelerin öngörmüş olduğu koşullara uygun olarak alacağı kademe ilerlemesiyle, bulunduğu hizmet sınıfının en üst derecesinin son kademesine kadar ilerlemeye devam eder.”</w:t>
            </w:r>
          </w:p>
        </w:tc>
      </w:tr>
      <w:tr w:rsidR="00E37C9A" w:rsidRPr="00944FD9" w:rsidTr="00E37C9A">
        <w:tc>
          <w:tcPr>
            <w:tcW w:w="1668" w:type="dxa"/>
          </w:tcPr>
          <w:p w:rsidR="00E37C9A" w:rsidRPr="00944FD9" w:rsidRDefault="00E37C9A" w:rsidP="00E37C9A"/>
        </w:tc>
        <w:tc>
          <w:tcPr>
            <w:tcW w:w="425" w:type="dxa"/>
          </w:tcPr>
          <w:p w:rsidR="00E37C9A" w:rsidRPr="00944FD9" w:rsidRDefault="00E37C9A" w:rsidP="0012062D">
            <w:pPr>
              <w:jc w:val="both"/>
            </w:pPr>
          </w:p>
        </w:tc>
        <w:tc>
          <w:tcPr>
            <w:tcW w:w="709" w:type="dxa"/>
          </w:tcPr>
          <w:p w:rsidR="00E37C9A" w:rsidRPr="00944FD9" w:rsidRDefault="00E37C9A" w:rsidP="0012062D">
            <w:pPr>
              <w:jc w:val="both"/>
            </w:pPr>
          </w:p>
        </w:tc>
        <w:tc>
          <w:tcPr>
            <w:tcW w:w="6662" w:type="dxa"/>
            <w:gridSpan w:val="2"/>
          </w:tcPr>
          <w:p w:rsidR="00E37C9A" w:rsidRPr="00944FD9" w:rsidRDefault="00E37C9A" w:rsidP="0012062D">
            <w:pPr>
              <w:jc w:val="both"/>
            </w:pPr>
          </w:p>
        </w:tc>
      </w:tr>
      <w:tr w:rsidR="009179B5" w:rsidRPr="00944FD9" w:rsidTr="00485D70">
        <w:tc>
          <w:tcPr>
            <w:tcW w:w="1668" w:type="dxa"/>
          </w:tcPr>
          <w:p w:rsidR="009179B5" w:rsidRPr="00944FD9" w:rsidRDefault="009179B5" w:rsidP="009179B5">
            <w:r w:rsidRPr="00944FD9">
              <w:t>Esas Yasanın</w:t>
            </w:r>
          </w:p>
          <w:p w:rsidR="009179B5" w:rsidRPr="00944FD9" w:rsidRDefault="009179B5" w:rsidP="009179B5">
            <w:r w:rsidRPr="00944FD9">
              <w:t>25’inci</w:t>
            </w:r>
          </w:p>
        </w:tc>
        <w:tc>
          <w:tcPr>
            <w:tcW w:w="7796" w:type="dxa"/>
            <w:gridSpan w:val="4"/>
          </w:tcPr>
          <w:p w:rsidR="009179B5" w:rsidRPr="00944FD9" w:rsidRDefault="009179B5" w:rsidP="0012062D">
            <w:pPr>
              <w:jc w:val="both"/>
            </w:pPr>
            <w:r w:rsidRPr="00944FD9">
              <w:t>4. Esas Yasa, 25’inci maddesi kaldırılmak ve yerine aşağıdaki yeni 25’inci madde konmak suretiyle değiştirilir:</w:t>
            </w:r>
          </w:p>
        </w:tc>
      </w:tr>
      <w:tr w:rsidR="00E37C9A" w:rsidRPr="00944FD9" w:rsidTr="009179B5">
        <w:tc>
          <w:tcPr>
            <w:tcW w:w="1668" w:type="dxa"/>
          </w:tcPr>
          <w:p w:rsidR="00E37C9A" w:rsidRPr="00944FD9" w:rsidRDefault="009179B5" w:rsidP="00E37C9A">
            <w:r w:rsidRPr="00944FD9">
              <w:t>Maddesinin</w:t>
            </w:r>
          </w:p>
        </w:tc>
        <w:tc>
          <w:tcPr>
            <w:tcW w:w="425" w:type="dxa"/>
          </w:tcPr>
          <w:p w:rsidR="00E37C9A" w:rsidRPr="00944FD9" w:rsidRDefault="00E37C9A" w:rsidP="0012062D">
            <w:pPr>
              <w:jc w:val="both"/>
            </w:pPr>
          </w:p>
        </w:tc>
        <w:tc>
          <w:tcPr>
            <w:tcW w:w="1559" w:type="dxa"/>
            <w:gridSpan w:val="2"/>
          </w:tcPr>
          <w:p w:rsidR="00E37C9A" w:rsidRPr="00944FD9" w:rsidRDefault="00E37C9A" w:rsidP="0012062D">
            <w:pPr>
              <w:jc w:val="both"/>
            </w:pPr>
          </w:p>
        </w:tc>
        <w:tc>
          <w:tcPr>
            <w:tcW w:w="5812" w:type="dxa"/>
          </w:tcPr>
          <w:p w:rsidR="00E37C9A" w:rsidRPr="00944FD9" w:rsidRDefault="00E37C9A" w:rsidP="0012062D">
            <w:pPr>
              <w:jc w:val="both"/>
            </w:pPr>
          </w:p>
        </w:tc>
      </w:tr>
      <w:tr w:rsidR="009179B5" w:rsidRPr="00944FD9" w:rsidTr="009179B5">
        <w:tc>
          <w:tcPr>
            <w:tcW w:w="1668" w:type="dxa"/>
          </w:tcPr>
          <w:p w:rsidR="009179B5" w:rsidRPr="00944FD9" w:rsidRDefault="009179B5" w:rsidP="00E37C9A">
            <w:r w:rsidRPr="00944FD9">
              <w:t>Değiş</w:t>
            </w:r>
            <w:r w:rsidR="00382EB8">
              <w:t>t</w:t>
            </w:r>
            <w:r w:rsidRPr="00944FD9">
              <w:t>irilmesi</w:t>
            </w:r>
          </w:p>
        </w:tc>
        <w:tc>
          <w:tcPr>
            <w:tcW w:w="425" w:type="dxa"/>
          </w:tcPr>
          <w:p w:rsidR="009179B5" w:rsidRPr="00944FD9" w:rsidRDefault="009179B5" w:rsidP="0012062D">
            <w:pPr>
              <w:jc w:val="both"/>
            </w:pPr>
          </w:p>
        </w:tc>
        <w:tc>
          <w:tcPr>
            <w:tcW w:w="1559" w:type="dxa"/>
            <w:gridSpan w:val="2"/>
          </w:tcPr>
          <w:p w:rsidR="009179B5" w:rsidRPr="00944FD9" w:rsidRDefault="009179B5" w:rsidP="0012062D">
            <w:pPr>
              <w:jc w:val="both"/>
            </w:pPr>
            <w:r w:rsidRPr="00944FD9">
              <w:t>“Derecelerin Kademeleri</w:t>
            </w:r>
          </w:p>
        </w:tc>
        <w:tc>
          <w:tcPr>
            <w:tcW w:w="5812" w:type="dxa"/>
          </w:tcPr>
          <w:p w:rsidR="009179B5" w:rsidRPr="00944FD9" w:rsidRDefault="009179B5" w:rsidP="0012062D">
            <w:pPr>
              <w:jc w:val="both"/>
            </w:pPr>
            <w:r w:rsidRPr="00944FD9">
              <w:t>25. Kademe, sınıf içinde görevin önem ve sorumluluğu artmadan, kamu çalışanının maaş baremindeki yıllık ilerleyiş adımıdır.”</w:t>
            </w:r>
          </w:p>
        </w:tc>
      </w:tr>
      <w:tr w:rsidR="009179B5" w:rsidRPr="00944FD9" w:rsidTr="009179B5">
        <w:tc>
          <w:tcPr>
            <w:tcW w:w="1668" w:type="dxa"/>
          </w:tcPr>
          <w:p w:rsidR="009179B5" w:rsidRPr="00944FD9" w:rsidRDefault="009179B5" w:rsidP="00E37C9A"/>
        </w:tc>
        <w:tc>
          <w:tcPr>
            <w:tcW w:w="425" w:type="dxa"/>
          </w:tcPr>
          <w:p w:rsidR="009179B5" w:rsidRPr="00944FD9" w:rsidRDefault="009179B5" w:rsidP="0012062D">
            <w:pPr>
              <w:jc w:val="both"/>
            </w:pPr>
          </w:p>
        </w:tc>
        <w:tc>
          <w:tcPr>
            <w:tcW w:w="1559" w:type="dxa"/>
            <w:gridSpan w:val="2"/>
          </w:tcPr>
          <w:p w:rsidR="009179B5" w:rsidRPr="00944FD9" w:rsidRDefault="009179B5" w:rsidP="0012062D">
            <w:pPr>
              <w:jc w:val="both"/>
            </w:pPr>
          </w:p>
        </w:tc>
        <w:tc>
          <w:tcPr>
            <w:tcW w:w="5812" w:type="dxa"/>
          </w:tcPr>
          <w:p w:rsidR="009179B5" w:rsidRPr="00944FD9" w:rsidRDefault="009179B5" w:rsidP="0012062D">
            <w:pPr>
              <w:jc w:val="both"/>
            </w:pPr>
          </w:p>
        </w:tc>
      </w:tr>
      <w:tr w:rsidR="0038022B" w:rsidRPr="00944FD9" w:rsidTr="007778F9">
        <w:tc>
          <w:tcPr>
            <w:tcW w:w="1668" w:type="dxa"/>
          </w:tcPr>
          <w:p w:rsidR="0038022B" w:rsidRPr="00944FD9" w:rsidRDefault="0038022B" w:rsidP="00E37C9A">
            <w:r w:rsidRPr="00944FD9">
              <w:t>Yürürlüğe Giriş</w:t>
            </w:r>
          </w:p>
        </w:tc>
        <w:tc>
          <w:tcPr>
            <w:tcW w:w="7796" w:type="dxa"/>
            <w:gridSpan w:val="4"/>
          </w:tcPr>
          <w:p w:rsidR="0038022B" w:rsidRPr="00944FD9" w:rsidRDefault="0038022B" w:rsidP="0038022B">
            <w:pPr>
              <w:jc w:val="both"/>
            </w:pPr>
            <w:r w:rsidRPr="00944FD9">
              <w:t xml:space="preserve">5. Bu Yasa, Resmi </w:t>
            </w:r>
            <w:proofErr w:type="spellStart"/>
            <w:r w:rsidRPr="00944FD9">
              <w:t>Gazete’de</w:t>
            </w:r>
            <w:proofErr w:type="spellEnd"/>
            <w:r w:rsidRPr="00944FD9">
              <w:t xml:space="preserve"> yayımlandığı tarihten başlayarak yürürlüğe girer.</w:t>
            </w:r>
          </w:p>
        </w:tc>
      </w:tr>
    </w:tbl>
    <w:p w:rsidR="00F92609" w:rsidRPr="00944FD9" w:rsidRDefault="00F92609" w:rsidP="000D6D59">
      <w:pPr>
        <w:outlineLvl w:val="0"/>
        <w:rPr>
          <w:bCs/>
        </w:rPr>
      </w:pPr>
    </w:p>
    <w:p w:rsidR="00F92609" w:rsidRPr="00944FD9" w:rsidRDefault="00F92609" w:rsidP="00F92609">
      <w:pPr>
        <w:jc w:val="center"/>
      </w:pPr>
    </w:p>
    <w:sectPr w:rsidR="00F92609" w:rsidRPr="00944FD9" w:rsidSect="0038022B">
      <w:footerReference w:type="even" r:id="rId7"/>
      <w:footerReference w:type="default" r:id="rId8"/>
      <w:pgSz w:w="11907" w:h="16840" w:code="9"/>
      <w:pgMar w:top="1418" w:right="1418" w:bottom="1259" w:left="1418" w:header="709" w:footer="709" w:gutter="0"/>
      <w:cols w:space="720"/>
      <w:titlePg/>
      <w:docGrid w:linePitch="363" w:charSpace="486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820" w:rsidRDefault="00376820">
      <w:r>
        <w:separator/>
      </w:r>
    </w:p>
  </w:endnote>
  <w:endnote w:type="continuationSeparator" w:id="0">
    <w:p w:rsidR="00376820" w:rsidRDefault="0037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6B7" w:rsidRDefault="00F92609">
    <w:pPr>
      <w:pStyle w:val="Footer"/>
      <w:framePr w:wrap="around" w:vAnchor="text" w:hAnchor="margin"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end"/>
    </w:r>
  </w:p>
  <w:p w:rsidR="00F756B7" w:rsidRDefault="00376820">
    <w:pPr>
      <w:pStyle w:val="Footer"/>
      <w:rPr>
        <w:sz w:val="22"/>
        <w:szCs w:val="22"/>
      </w:rPr>
    </w:pPr>
  </w:p>
  <w:p w:rsidR="00F756B7" w:rsidRDefault="00376820">
    <w:pPr>
      <w:rPr>
        <w:sz w:val="22"/>
        <w:szCs w:val="22"/>
      </w:rPr>
    </w:pPr>
  </w:p>
  <w:p w:rsidR="00F756B7" w:rsidRDefault="00376820">
    <w:pP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504155"/>
      <w:docPartObj>
        <w:docPartGallery w:val="Page Numbers (Bottom of Page)"/>
        <w:docPartUnique/>
      </w:docPartObj>
    </w:sdtPr>
    <w:sdtEndPr/>
    <w:sdtContent>
      <w:p w:rsidR="0038022B" w:rsidRDefault="0038022B">
        <w:pPr>
          <w:pStyle w:val="Footer"/>
          <w:jc w:val="center"/>
        </w:pPr>
        <w:r>
          <w:fldChar w:fldCharType="begin"/>
        </w:r>
        <w:r>
          <w:instrText>PAGE   \* MERGEFORMAT</w:instrText>
        </w:r>
        <w:r>
          <w:fldChar w:fldCharType="separate"/>
        </w:r>
        <w:r w:rsidR="008B63B6">
          <w:rPr>
            <w:noProof/>
          </w:rPr>
          <w:t>2</w:t>
        </w:r>
        <w:r>
          <w:fldChar w:fldCharType="end"/>
        </w:r>
      </w:p>
    </w:sdtContent>
  </w:sdt>
  <w:p w:rsidR="00F756B7" w:rsidRDefault="00376820" w:rsidP="003B0BEC">
    <w:pPr>
      <w:pStyle w:val="Footer"/>
      <w:jc w:val="right"/>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820" w:rsidRDefault="00376820">
      <w:r>
        <w:separator/>
      </w:r>
    </w:p>
  </w:footnote>
  <w:footnote w:type="continuationSeparator" w:id="0">
    <w:p w:rsidR="00376820" w:rsidRDefault="00376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0B4"/>
    <w:rsid w:val="000D6D59"/>
    <w:rsid w:val="00102254"/>
    <w:rsid w:val="0012062D"/>
    <w:rsid w:val="002E0E4E"/>
    <w:rsid w:val="002F0DA7"/>
    <w:rsid w:val="00376820"/>
    <w:rsid w:val="0038022B"/>
    <w:rsid w:val="00380A2C"/>
    <w:rsid w:val="00382EB8"/>
    <w:rsid w:val="003B0BEC"/>
    <w:rsid w:val="00447C90"/>
    <w:rsid w:val="004E78B9"/>
    <w:rsid w:val="008152AB"/>
    <w:rsid w:val="00820016"/>
    <w:rsid w:val="008B63B6"/>
    <w:rsid w:val="009179B5"/>
    <w:rsid w:val="009220EC"/>
    <w:rsid w:val="009368F9"/>
    <w:rsid w:val="00944FD9"/>
    <w:rsid w:val="009A326C"/>
    <w:rsid w:val="009E466E"/>
    <w:rsid w:val="00BE00B4"/>
    <w:rsid w:val="00C97EFD"/>
    <w:rsid w:val="00CD7D46"/>
    <w:rsid w:val="00D346B6"/>
    <w:rsid w:val="00E37C9A"/>
    <w:rsid w:val="00F22D9A"/>
    <w:rsid w:val="00F92609"/>
    <w:rsid w:val="00FC1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09"/>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92609"/>
    <w:pPr>
      <w:tabs>
        <w:tab w:val="center" w:pos="4536"/>
        <w:tab w:val="right" w:pos="9072"/>
      </w:tabs>
    </w:pPr>
  </w:style>
  <w:style w:type="character" w:customStyle="1" w:styleId="FooterChar">
    <w:name w:val="Footer Char"/>
    <w:basedOn w:val="DefaultParagraphFont"/>
    <w:link w:val="Footer"/>
    <w:uiPriority w:val="99"/>
    <w:rsid w:val="00F92609"/>
    <w:rPr>
      <w:rFonts w:ascii="Times New Roman" w:eastAsia="SimSun" w:hAnsi="Times New Roman" w:cs="Times New Roman"/>
      <w:sz w:val="24"/>
      <w:szCs w:val="24"/>
      <w:lang w:eastAsia="zh-CN"/>
    </w:rPr>
  </w:style>
  <w:style w:type="character" w:styleId="PageNumber">
    <w:name w:val="page number"/>
    <w:basedOn w:val="DefaultParagraphFont"/>
    <w:rsid w:val="00F92609"/>
  </w:style>
  <w:style w:type="character" w:styleId="Hyperlink">
    <w:name w:val="Hyperlink"/>
    <w:semiHidden/>
    <w:rsid w:val="00F92609"/>
    <w:rPr>
      <w:color w:val="0000FF"/>
      <w:u w:val="single"/>
    </w:rPr>
  </w:style>
  <w:style w:type="table" w:styleId="TableGrid">
    <w:name w:val="Table Grid"/>
    <w:basedOn w:val="TableNormal"/>
    <w:uiPriority w:val="39"/>
    <w:rsid w:val="00CD7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0BEC"/>
    <w:pPr>
      <w:tabs>
        <w:tab w:val="center" w:pos="4536"/>
        <w:tab w:val="right" w:pos="9072"/>
      </w:tabs>
    </w:pPr>
  </w:style>
  <w:style w:type="character" w:customStyle="1" w:styleId="HeaderChar">
    <w:name w:val="Header Char"/>
    <w:basedOn w:val="DefaultParagraphFont"/>
    <w:link w:val="Header"/>
    <w:uiPriority w:val="99"/>
    <w:rsid w:val="003B0BEC"/>
    <w:rPr>
      <w:rFonts w:ascii="Times New Roman" w:eastAsia="SimSun" w:hAnsi="Times New Roman" w:cs="Times New Roman"/>
      <w:sz w:val="24"/>
      <w:szCs w:val="24"/>
      <w:lang w:eastAsia="zh-CN"/>
    </w:rPr>
  </w:style>
  <w:style w:type="table" w:customStyle="1" w:styleId="TableGrid1">
    <w:name w:val="Table Grid1"/>
    <w:basedOn w:val="TableNormal"/>
    <w:rsid w:val="000D6D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609"/>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92609"/>
    <w:pPr>
      <w:tabs>
        <w:tab w:val="center" w:pos="4536"/>
        <w:tab w:val="right" w:pos="9072"/>
      </w:tabs>
    </w:pPr>
  </w:style>
  <w:style w:type="character" w:customStyle="1" w:styleId="FooterChar">
    <w:name w:val="Footer Char"/>
    <w:basedOn w:val="DefaultParagraphFont"/>
    <w:link w:val="Footer"/>
    <w:uiPriority w:val="99"/>
    <w:rsid w:val="00F92609"/>
    <w:rPr>
      <w:rFonts w:ascii="Times New Roman" w:eastAsia="SimSun" w:hAnsi="Times New Roman" w:cs="Times New Roman"/>
      <w:sz w:val="24"/>
      <w:szCs w:val="24"/>
      <w:lang w:eastAsia="zh-CN"/>
    </w:rPr>
  </w:style>
  <w:style w:type="character" w:styleId="PageNumber">
    <w:name w:val="page number"/>
    <w:basedOn w:val="DefaultParagraphFont"/>
    <w:rsid w:val="00F92609"/>
  </w:style>
  <w:style w:type="character" w:styleId="Hyperlink">
    <w:name w:val="Hyperlink"/>
    <w:semiHidden/>
    <w:rsid w:val="00F92609"/>
    <w:rPr>
      <w:color w:val="0000FF"/>
      <w:u w:val="single"/>
    </w:rPr>
  </w:style>
  <w:style w:type="table" w:styleId="TableGrid">
    <w:name w:val="Table Grid"/>
    <w:basedOn w:val="TableNormal"/>
    <w:uiPriority w:val="39"/>
    <w:rsid w:val="00CD7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0BEC"/>
    <w:pPr>
      <w:tabs>
        <w:tab w:val="center" w:pos="4536"/>
        <w:tab w:val="right" w:pos="9072"/>
      </w:tabs>
    </w:pPr>
  </w:style>
  <w:style w:type="character" w:customStyle="1" w:styleId="HeaderChar">
    <w:name w:val="Header Char"/>
    <w:basedOn w:val="DefaultParagraphFont"/>
    <w:link w:val="Header"/>
    <w:uiPriority w:val="99"/>
    <w:rsid w:val="003B0BEC"/>
    <w:rPr>
      <w:rFonts w:ascii="Times New Roman" w:eastAsia="SimSun" w:hAnsi="Times New Roman" w:cs="Times New Roman"/>
      <w:sz w:val="24"/>
      <w:szCs w:val="24"/>
      <w:lang w:eastAsia="zh-CN"/>
    </w:rPr>
  </w:style>
  <w:style w:type="table" w:customStyle="1" w:styleId="TableGrid1">
    <w:name w:val="Table Grid1"/>
    <w:basedOn w:val="TableNormal"/>
    <w:rsid w:val="000D6D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guder</dc:creator>
  <cp:lastModifiedBy>ali guder</cp:lastModifiedBy>
  <cp:revision>4</cp:revision>
  <dcterms:created xsi:type="dcterms:W3CDTF">2017-11-20T12:05:00Z</dcterms:created>
  <dcterms:modified xsi:type="dcterms:W3CDTF">2017-12-14T14:24:00Z</dcterms:modified>
</cp:coreProperties>
</file>