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B2" w:rsidRDefault="008B67B2" w:rsidP="008B67B2">
      <w:pPr>
        <w:tabs>
          <w:tab w:val="left" w:pos="1418"/>
        </w:tabs>
        <w:spacing w:after="0" w:line="24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9498" w:type="dxa"/>
        <w:tblLook w:val="01E0" w:firstRow="1" w:lastRow="1" w:firstColumn="1" w:lastColumn="1" w:noHBand="0" w:noVBand="0"/>
      </w:tblPr>
      <w:tblGrid>
        <w:gridCol w:w="9498"/>
      </w:tblGrid>
      <w:tr w:rsidR="00293ED0" w:rsidRPr="00293ED0" w:rsidTr="00293ED0">
        <w:tc>
          <w:tcPr>
            <w:tcW w:w="9498" w:type="dxa"/>
            <w:hideMark/>
          </w:tcPr>
          <w:p w:rsidR="00293ED0" w:rsidRPr="00293ED0" w:rsidRDefault="00293ED0" w:rsidP="00293ED0">
            <w:pPr>
              <w:jc w:val="both"/>
              <w:rPr>
                <w:rFonts w:ascii="Times New Roman" w:eastAsia="Times New Roman" w:hAnsi="Times New Roman"/>
                <w:sz w:val="24"/>
                <w:szCs w:val="24"/>
                <w:lang w:val="en-US" w:eastAsia="tr-TR"/>
              </w:rPr>
            </w:pPr>
            <w:r w:rsidRPr="00293ED0">
              <w:rPr>
                <w:rFonts w:ascii="Times New Roman" w:eastAsia="Times New Roman" w:hAnsi="Times New Roman"/>
                <w:sz w:val="24"/>
                <w:szCs w:val="24"/>
                <w:lang w:eastAsia="tr-TR"/>
              </w:rPr>
              <w:t xml:space="preserve">Kuzey Kıbrıs Türk Cumhuriyeti Cumhuriyet Meclisi’nin 29 Mayıs 2017 tarihli </w:t>
            </w:r>
            <w:proofErr w:type="spellStart"/>
            <w:r w:rsidRPr="00293ED0">
              <w:rPr>
                <w:rFonts w:ascii="Times New Roman" w:eastAsia="Times New Roman" w:hAnsi="Times New Roman"/>
                <w:sz w:val="24"/>
                <w:szCs w:val="24"/>
                <w:lang w:eastAsia="tr-TR"/>
              </w:rPr>
              <w:t>Altmışdokuzuncu</w:t>
            </w:r>
            <w:proofErr w:type="spellEnd"/>
            <w:r w:rsidRPr="00293ED0">
              <w:rPr>
                <w:rFonts w:ascii="Times New Roman" w:eastAsia="Times New Roman" w:hAnsi="Times New Roman"/>
                <w:sz w:val="24"/>
                <w:szCs w:val="24"/>
                <w:lang w:eastAsia="tr-TR"/>
              </w:rPr>
              <w:t xml:space="preserve"> Birleşiminde Oybirliğiyle kabul olunan “</w:t>
            </w:r>
            <w:r>
              <w:rPr>
                <w:rFonts w:ascii="Times New Roman" w:eastAsia="Times New Roman" w:hAnsi="Times New Roman"/>
                <w:sz w:val="24"/>
                <w:szCs w:val="24"/>
              </w:rPr>
              <w:t>Emeklilik (Değişiklik) Yasası</w:t>
            </w:r>
            <w:r w:rsidRPr="00293ED0">
              <w:rPr>
                <w:rFonts w:ascii="Times New Roman" w:eastAsia="Times New Roman" w:hAnsi="Times New Roman"/>
                <w:sz w:val="24"/>
                <w:szCs w:val="24"/>
                <w:lang w:eastAsia="tr-TR"/>
              </w:rPr>
              <w:t xml:space="preserve">” Anayasanın 94’üncü maddesinin (1)’inci fıkrası gereğince Kuzey Kıbrıs Türk Cumhuriyeti Cumhurbaşkanı tarafından Resmi </w:t>
            </w:r>
            <w:proofErr w:type="spellStart"/>
            <w:r w:rsidRPr="00293ED0">
              <w:rPr>
                <w:rFonts w:ascii="Times New Roman" w:eastAsia="Times New Roman" w:hAnsi="Times New Roman"/>
                <w:sz w:val="24"/>
                <w:szCs w:val="24"/>
                <w:lang w:eastAsia="tr-TR"/>
              </w:rPr>
              <w:t>Gazete’de</w:t>
            </w:r>
            <w:proofErr w:type="spellEnd"/>
            <w:r w:rsidRPr="00293ED0">
              <w:rPr>
                <w:rFonts w:ascii="Times New Roman" w:eastAsia="Times New Roman" w:hAnsi="Times New Roman"/>
                <w:sz w:val="24"/>
                <w:szCs w:val="24"/>
                <w:lang w:eastAsia="tr-TR"/>
              </w:rPr>
              <w:t xml:space="preserve"> yayımlanmak suretiyle ilan olunur.</w:t>
            </w:r>
          </w:p>
        </w:tc>
      </w:tr>
      <w:tr w:rsidR="00293ED0" w:rsidRPr="00293ED0" w:rsidTr="00293ED0">
        <w:tc>
          <w:tcPr>
            <w:tcW w:w="9498" w:type="dxa"/>
          </w:tcPr>
          <w:p w:rsidR="00293ED0" w:rsidRPr="00293ED0" w:rsidRDefault="00293ED0" w:rsidP="00293ED0">
            <w:pPr>
              <w:jc w:val="both"/>
              <w:rPr>
                <w:rFonts w:ascii="Times New Roman" w:eastAsia="Times New Roman" w:hAnsi="Times New Roman"/>
                <w:sz w:val="24"/>
                <w:szCs w:val="24"/>
                <w:lang w:val="en-US" w:eastAsia="tr-TR"/>
              </w:rPr>
            </w:pPr>
          </w:p>
        </w:tc>
      </w:tr>
      <w:tr w:rsidR="00293ED0" w:rsidRPr="00293ED0" w:rsidTr="00293ED0">
        <w:tc>
          <w:tcPr>
            <w:tcW w:w="9498" w:type="dxa"/>
            <w:hideMark/>
          </w:tcPr>
          <w:p w:rsidR="00293ED0" w:rsidRPr="00293ED0" w:rsidRDefault="00293ED0" w:rsidP="00293ED0">
            <w:pPr>
              <w:jc w:val="center"/>
              <w:rPr>
                <w:rFonts w:ascii="Times New Roman" w:eastAsia="Times New Roman" w:hAnsi="Times New Roman"/>
                <w:sz w:val="24"/>
                <w:szCs w:val="24"/>
                <w:lang w:val="en-US" w:eastAsia="tr-TR"/>
              </w:rPr>
            </w:pPr>
            <w:r>
              <w:rPr>
                <w:rFonts w:ascii="Times New Roman" w:eastAsia="Times New Roman" w:hAnsi="Times New Roman"/>
                <w:sz w:val="24"/>
                <w:szCs w:val="24"/>
                <w:lang w:eastAsia="tr-TR"/>
              </w:rPr>
              <w:t>Sayı: 48</w:t>
            </w:r>
            <w:r w:rsidRPr="00293ED0">
              <w:rPr>
                <w:rFonts w:ascii="Times New Roman" w:eastAsia="Times New Roman" w:hAnsi="Times New Roman"/>
                <w:sz w:val="24"/>
                <w:szCs w:val="24"/>
                <w:lang w:eastAsia="tr-TR"/>
              </w:rPr>
              <w:t>/2017</w:t>
            </w:r>
          </w:p>
        </w:tc>
      </w:tr>
    </w:tbl>
    <w:p w:rsidR="00293ED0" w:rsidRDefault="00293ED0" w:rsidP="008B67B2">
      <w:pPr>
        <w:spacing w:after="0" w:line="240" w:lineRule="auto"/>
        <w:jc w:val="center"/>
        <w:rPr>
          <w:rFonts w:ascii="Times New Roman" w:eastAsia="Times New Roman" w:hAnsi="Times New Roman"/>
          <w:bCs/>
          <w:sz w:val="24"/>
          <w:szCs w:val="24"/>
        </w:rPr>
      </w:pPr>
    </w:p>
    <w:p w:rsidR="008B67B2" w:rsidRPr="00B95C91" w:rsidRDefault="008B67B2" w:rsidP="008B67B2">
      <w:pPr>
        <w:spacing w:after="0" w:line="240" w:lineRule="auto"/>
        <w:jc w:val="center"/>
        <w:rPr>
          <w:rFonts w:ascii="Times New Roman" w:eastAsia="Times New Roman" w:hAnsi="Times New Roman"/>
          <w:bCs/>
          <w:sz w:val="24"/>
          <w:szCs w:val="24"/>
        </w:rPr>
      </w:pPr>
      <w:r w:rsidRPr="00B95C91">
        <w:rPr>
          <w:rFonts w:ascii="Times New Roman" w:eastAsia="Times New Roman" w:hAnsi="Times New Roman"/>
          <w:bCs/>
          <w:sz w:val="24"/>
          <w:szCs w:val="24"/>
        </w:rPr>
        <w:t>EMEKLİLİK (DEĞİŞİKLİK) YASASI</w:t>
      </w:r>
    </w:p>
    <w:p w:rsidR="008B67B2" w:rsidRDefault="008B67B2" w:rsidP="008B67B2">
      <w:pPr>
        <w:tabs>
          <w:tab w:val="left" w:pos="1560"/>
        </w:tabs>
        <w:spacing w:after="0" w:line="240" w:lineRule="auto"/>
        <w:rPr>
          <w:rFonts w:ascii="Times New Roman" w:eastAsia="Times New Roman" w:hAnsi="Times New Roman"/>
          <w:sz w:val="24"/>
          <w:szCs w:val="24"/>
        </w:rPr>
      </w:pPr>
    </w:p>
    <w:p w:rsidR="00293ED0" w:rsidRDefault="00293ED0" w:rsidP="008B67B2">
      <w:pPr>
        <w:tabs>
          <w:tab w:val="left" w:pos="1560"/>
        </w:tabs>
        <w:spacing w:after="0" w:line="240" w:lineRule="auto"/>
        <w:rPr>
          <w:rFonts w:ascii="Times New Roman" w:eastAsia="Times New Roman" w:hAnsi="Times New Roman"/>
          <w:sz w:val="24"/>
          <w:szCs w:val="24"/>
        </w:rPr>
      </w:pPr>
      <w:bookmarkStart w:id="0" w:name="_GoBack"/>
      <w:bookmarkEnd w:id="0"/>
    </w:p>
    <w:tbl>
      <w:tblPr>
        <w:tblW w:w="0" w:type="auto"/>
        <w:tblLook w:val="04A0" w:firstRow="1" w:lastRow="0" w:firstColumn="1" w:lastColumn="0" w:noHBand="0" w:noVBand="1"/>
      </w:tblPr>
      <w:tblGrid>
        <w:gridCol w:w="1576"/>
        <w:gridCol w:w="1443"/>
        <w:gridCol w:w="496"/>
        <w:gridCol w:w="5773"/>
      </w:tblGrid>
      <w:tr w:rsidR="008B67B2" w:rsidTr="008B67B2">
        <w:tc>
          <w:tcPr>
            <w:tcW w:w="1576" w:type="dxa"/>
          </w:tcPr>
          <w:p w:rsidR="008B67B2" w:rsidRDefault="008B67B2">
            <w:pPr>
              <w:spacing w:after="0" w:line="240" w:lineRule="auto"/>
              <w:rPr>
                <w:rFonts w:ascii="Times New Roman" w:eastAsia="Times New Roman" w:hAnsi="Times New Roman"/>
                <w:sz w:val="24"/>
                <w:szCs w:val="24"/>
              </w:rPr>
            </w:pPr>
          </w:p>
        </w:tc>
        <w:tc>
          <w:tcPr>
            <w:tcW w:w="7712" w:type="dxa"/>
            <w:gridSpan w:val="3"/>
            <w:hideMark/>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Kuzey Kıbrıs Türk Cumhuriyeti Cumhuriyet Meclisi aşağıdaki Yasayı yapar.</w:t>
            </w:r>
          </w:p>
        </w:tc>
      </w:tr>
      <w:tr w:rsidR="008B67B2" w:rsidTr="008B67B2">
        <w:tc>
          <w:tcPr>
            <w:tcW w:w="1576" w:type="dxa"/>
          </w:tcPr>
          <w:p w:rsidR="008B67B2" w:rsidRDefault="008B67B2">
            <w:pPr>
              <w:spacing w:after="0" w:line="240" w:lineRule="auto"/>
              <w:rPr>
                <w:rFonts w:ascii="Times New Roman" w:eastAsia="Times New Roman" w:hAnsi="Times New Roman"/>
                <w:sz w:val="24"/>
                <w:szCs w:val="24"/>
              </w:rPr>
            </w:pPr>
          </w:p>
        </w:tc>
        <w:tc>
          <w:tcPr>
            <w:tcW w:w="7712" w:type="dxa"/>
            <w:gridSpan w:val="3"/>
          </w:tcPr>
          <w:p w:rsidR="008B67B2" w:rsidRDefault="008B67B2">
            <w:pPr>
              <w:spacing w:after="0" w:line="240" w:lineRule="auto"/>
              <w:rPr>
                <w:rFonts w:ascii="Times New Roman" w:eastAsia="Times New Roman" w:hAnsi="Times New Roman"/>
                <w:sz w:val="24"/>
                <w:szCs w:val="24"/>
              </w:rPr>
            </w:pPr>
          </w:p>
        </w:tc>
      </w:tr>
      <w:tr w:rsidR="008B67B2" w:rsidTr="008B67B2">
        <w:tc>
          <w:tcPr>
            <w:tcW w:w="1576" w:type="dxa"/>
            <w:vMerge w:val="restart"/>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Kısa İsim</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26/1977</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9/1979</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18/1980</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26/1982</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54/1982</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14/1983</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22/1983</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20/1985</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3/1986</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14/1987</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38/1987</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4/1990</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50/1990</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35/1997</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23/1998</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36/2000</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29/2001</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38/2001</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23/2002</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30/2002</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21/2003</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71/2003</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14/2004</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30/2005</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61/2005</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64/2006</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98/2007</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49/2008</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69/2009</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40/2010</w:t>
            </w:r>
          </w:p>
          <w:p w:rsidR="008B67B2" w:rsidRDefault="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25/2013</w:t>
            </w:r>
          </w:p>
          <w:p w:rsidR="008B67B2" w:rsidRDefault="008B67B2">
            <w:pPr>
              <w:spacing w:after="0" w:line="240" w:lineRule="auto"/>
              <w:rPr>
                <w:rFonts w:ascii="Times New Roman" w:eastAsia="Times New Roman" w:hAnsi="Times New Roman"/>
                <w:sz w:val="24"/>
                <w:szCs w:val="24"/>
              </w:rPr>
            </w:pPr>
          </w:p>
        </w:tc>
        <w:tc>
          <w:tcPr>
            <w:tcW w:w="7712" w:type="dxa"/>
            <w:gridSpan w:val="3"/>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Bu Yasa, Emeklilik (Değişiklik) Yasası olarak isimlendirilir ve aşağıda “Esas Yasa” olarak anılan Emeklilik Yasası ile birlikte okunur.</w:t>
            </w:r>
          </w:p>
        </w:tc>
      </w:tr>
      <w:tr w:rsidR="008B67B2" w:rsidTr="008B67B2">
        <w:tc>
          <w:tcPr>
            <w:tcW w:w="0" w:type="auto"/>
            <w:vMerge/>
            <w:vAlign w:val="center"/>
            <w:hideMark/>
          </w:tcPr>
          <w:p w:rsidR="008B67B2" w:rsidRDefault="008B67B2">
            <w:pPr>
              <w:spacing w:after="0" w:line="240" w:lineRule="auto"/>
              <w:rPr>
                <w:rFonts w:ascii="Times New Roman" w:eastAsia="Times New Roman" w:hAnsi="Times New Roman"/>
                <w:sz w:val="24"/>
                <w:szCs w:val="24"/>
              </w:rPr>
            </w:pPr>
          </w:p>
        </w:tc>
        <w:tc>
          <w:tcPr>
            <w:tcW w:w="7712" w:type="dxa"/>
            <w:gridSpan w:val="3"/>
          </w:tcPr>
          <w:p w:rsidR="008B67B2" w:rsidRDefault="008B67B2">
            <w:pPr>
              <w:spacing w:after="0" w:line="240" w:lineRule="auto"/>
              <w:rPr>
                <w:rFonts w:ascii="Times New Roman" w:eastAsia="Times New Roman" w:hAnsi="Times New Roman"/>
                <w:sz w:val="24"/>
                <w:szCs w:val="24"/>
              </w:rPr>
            </w:pPr>
          </w:p>
        </w:tc>
      </w:tr>
      <w:tr w:rsidR="008B67B2" w:rsidTr="008B67B2">
        <w:tc>
          <w:tcPr>
            <w:tcW w:w="1576" w:type="dxa"/>
            <w:hideMark/>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Esas Yasanın 30’uncu</w:t>
            </w:r>
          </w:p>
        </w:tc>
        <w:tc>
          <w:tcPr>
            <w:tcW w:w="7712" w:type="dxa"/>
            <w:gridSpan w:val="3"/>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Esas Yasa, 30’uncu maddesi kaldırılmak ve yerine aşağıdaki yeni 30’uncu madde konmak suretiyle değiştirilir:</w:t>
            </w:r>
          </w:p>
        </w:tc>
      </w:tr>
      <w:tr w:rsidR="008B67B2" w:rsidTr="008B67B2">
        <w:tc>
          <w:tcPr>
            <w:tcW w:w="1576" w:type="dxa"/>
            <w:hideMark/>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Maddesinin</w:t>
            </w:r>
          </w:p>
        </w:tc>
        <w:tc>
          <w:tcPr>
            <w:tcW w:w="7712" w:type="dxa"/>
            <w:gridSpan w:val="3"/>
          </w:tcPr>
          <w:p w:rsidR="008B67B2" w:rsidRDefault="008B67B2">
            <w:pPr>
              <w:spacing w:after="0" w:line="240" w:lineRule="auto"/>
              <w:jc w:val="both"/>
              <w:rPr>
                <w:rFonts w:ascii="Times New Roman" w:eastAsia="Times New Roman" w:hAnsi="Times New Roman"/>
                <w:sz w:val="24"/>
                <w:szCs w:val="24"/>
              </w:rPr>
            </w:pPr>
          </w:p>
        </w:tc>
      </w:tr>
      <w:tr w:rsidR="008B67B2" w:rsidTr="008B67B2">
        <w:tc>
          <w:tcPr>
            <w:tcW w:w="1576"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Değiştirilmesi</w:t>
            </w:r>
          </w:p>
        </w:tc>
        <w:tc>
          <w:tcPr>
            <w:tcW w:w="1443" w:type="dxa"/>
            <w:hideMark/>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“Emeklilik Maaşının Ayarlanması</w:t>
            </w:r>
          </w:p>
        </w:tc>
        <w:tc>
          <w:tcPr>
            <w:tcW w:w="496"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p>
        </w:tc>
        <w:tc>
          <w:tcPr>
            <w:tcW w:w="5773"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Bu madde amaçları bakımından</w:t>
            </w:r>
            <w:r>
              <w:rPr>
                <w:rFonts w:ascii="Times New Roman" w:eastAsia="Times New Roman" w:hAnsi="Times New Roman"/>
                <w:b/>
                <w:sz w:val="24"/>
                <w:szCs w:val="24"/>
              </w:rPr>
              <w:t xml:space="preserve"> </w:t>
            </w:r>
            <w:r>
              <w:rPr>
                <w:rFonts w:ascii="Times New Roman" w:eastAsia="Times New Roman" w:hAnsi="Times New Roman"/>
                <w:sz w:val="24"/>
                <w:szCs w:val="24"/>
              </w:rPr>
              <w:t>emeklilik maaşının ayarlanması yapılırken aşağıdaki tanımlamalar dikkate alınır:</w:t>
            </w:r>
          </w:p>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“Görev”, mevcut görev adının daha sonra değiştirilmiş olmasına bakılmaksızın, ilgili görevin yerini alan yeni göreve veya söz konusu görevin kaldırılması halinde, ayni hizmet sınıfı ve aynı derece içinde bu göreve denk bir göreve göre saptanır.</w:t>
            </w:r>
          </w:p>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“Emekliye Ayrılmış”, Devlet Bütçesinden veya Emeklilik Sandığı Fonundan emekliye ayrılmak suretiyle</w:t>
            </w:r>
            <w:r>
              <w:rPr>
                <w:rFonts w:ascii="Times New Roman" w:eastAsia="Times New Roman" w:hAnsi="Times New Roman"/>
                <w:b/>
                <w:sz w:val="24"/>
                <w:szCs w:val="24"/>
              </w:rPr>
              <w:t xml:space="preserve"> </w:t>
            </w:r>
            <w:r>
              <w:rPr>
                <w:rFonts w:ascii="Times New Roman" w:eastAsia="Times New Roman" w:hAnsi="Times New Roman"/>
                <w:sz w:val="24"/>
                <w:szCs w:val="24"/>
              </w:rPr>
              <w:t>emeklilik maaşı alanları anlatır.</w:t>
            </w:r>
          </w:p>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“Emeklilik Maaşı”, Kıbrıs Cumhuriyeti Anayasası, Temel Kurallar ve Temel Kurallarla etkilenmiş halinde Kıbrıs Cumhuriyeti Anayasası ve Kuzey Kıbrıs Türk Cumhuriyeti Devleti veya Kuzey Kıbrıs Türk Cumhuriyeti Anayasaları gereğince, ilgili zamanda geçerli mevzuat ve kararlara dayanılarak emekliye ayrılmak suretiyle verilen emeklilik maaşını kapsar. </w:t>
            </w:r>
          </w:p>
        </w:tc>
      </w:tr>
      <w:tr w:rsidR="008B67B2" w:rsidTr="008B67B2">
        <w:tc>
          <w:tcPr>
            <w:tcW w:w="1576" w:type="dxa"/>
          </w:tcPr>
          <w:p w:rsidR="008B67B2" w:rsidRDefault="008B67B2">
            <w:pPr>
              <w:spacing w:after="0" w:line="240" w:lineRule="auto"/>
              <w:jc w:val="both"/>
              <w:rPr>
                <w:rFonts w:ascii="Times New Roman" w:eastAsia="Times New Roman" w:hAnsi="Times New Roman"/>
                <w:sz w:val="24"/>
                <w:szCs w:val="24"/>
              </w:rPr>
            </w:pPr>
          </w:p>
        </w:tc>
        <w:tc>
          <w:tcPr>
            <w:tcW w:w="1443" w:type="dxa"/>
          </w:tcPr>
          <w:p w:rsidR="008B67B2" w:rsidRDefault="008B67B2">
            <w:pPr>
              <w:spacing w:after="0" w:line="240" w:lineRule="auto"/>
              <w:rPr>
                <w:rFonts w:ascii="Times New Roman" w:eastAsia="Times New Roman" w:hAnsi="Times New Roman"/>
                <w:sz w:val="24"/>
                <w:szCs w:val="24"/>
              </w:rPr>
            </w:pPr>
          </w:p>
        </w:tc>
        <w:tc>
          <w:tcPr>
            <w:tcW w:w="496"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p>
        </w:tc>
        <w:tc>
          <w:tcPr>
            <w:tcW w:w="5773"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Emekliye ayrıldığı tarihteki görevinin barem artışlarının teknik bir nedenle verilmemiş olması veya barem artışlarının emeklilik amaçları için hesaplanmamış olması halinde, emekliye ayrıldıktan sonra, ilgili kadroya ait barem artışları verilir. </w:t>
            </w:r>
          </w:p>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Ancak, disiplin cezası sonucu verilmeyen barem içi artışlar bu fıkra kapsamına girmez.</w:t>
            </w:r>
          </w:p>
        </w:tc>
      </w:tr>
      <w:tr w:rsidR="008B67B2" w:rsidTr="008B67B2">
        <w:tc>
          <w:tcPr>
            <w:tcW w:w="1576" w:type="dxa"/>
          </w:tcPr>
          <w:p w:rsidR="008B67B2" w:rsidRDefault="008B67B2">
            <w:pPr>
              <w:spacing w:after="0" w:line="240" w:lineRule="auto"/>
              <w:jc w:val="both"/>
              <w:rPr>
                <w:rFonts w:ascii="Times New Roman" w:eastAsia="Times New Roman" w:hAnsi="Times New Roman"/>
                <w:sz w:val="24"/>
                <w:szCs w:val="24"/>
              </w:rPr>
            </w:pPr>
          </w:p>
        </w:tc>
        <w:tc>
          <w:tcPr>
            <w:tcW w:w="1443" w:type="dxa"/>
          </w:tcPr>
          <w:p w:rsidR="008B67B2" w:rsidRDefault="008B67B2">
            <w:pPr>
              <w:spacing w:after="0" w:line="240" w:lineRule="auto"/>
              <w:rPr>
                <w:rFonts w:ascii="Times New Roman" w:eastAsia="Times New Roman" w:hAnsi="Times New Roman"/>
                <w:sz w:val="24"/>
                <w:szCs w:val="24"/>
              </w:rPr>
            </w:pPr>
          </w:p>
        </w:tc>
        <w:tc>
          <w:tcPr>
            <w:tcW w:w="496"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p>
        </w:tc>
        <w:tc>
          <w:tcPr>
            <w:tcW w:w="5773" w:type="dxa"/>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Bu Yasanın 3’üncü maddesinin (5)’inci fıkrası uyarınca emeklilik hakkı kazandıran hizmetlerden dolayı emekli maaşı alanlara, emeklilik amaçları için kabul edilen ödeneklerine bakılmaksızın, bu Yasanın 4’üncü maddesinin (3)’üncü fıkrasındaki esaslar gereğince, sadece Kuzey Kıbrıs Türk Cumhuriyeti Devleti kamu görevlisine uygulanan artışlar çerçevesinde maaş artışı sağlanır. Bunun dışında süreye ve miktara bakılmaksızın herhangi bir ek menfaat verilmez.”</w:t>
            </w:r>
          </w:p>
        </w:tc>
      </w:tr>
      <w:tr w:rsidR="008B67B2" w:rsidTr="008B67B2">
        <w:tc>
          <w:tcPr>
            <w:tcW w:w="1576" w:type="dxa"/>
          </w:tcPr>
          <w:p w:rsidR="008B67B2" w:rsidRDefault="008B67B2">
            <w:pPr>
              <w:spacing w:after="0" w:line="240" w:lineRule="auto"/>
              <w:rPr>
                <w:rFonts w:ascii="Times New Roman" w:eastAsia="Times New Roman" w:hAnsi="Times New Roman"/>
                <w:sz w:val="24"/>
                <w:szCs w:val="24"/>
              </w:rPr>
            </w:pPr>
          </w:p>
        </w:tc>
        <w:tc>
          <w:tcPr>
            <w:tcW w:w="1443" w:type="dxa"/>
          </w:tcPr>
          <w:p w:rsidR="008B67B2" w:rsidRDefault="008B67B2">
            <w:pPr>
              <w:spacing w:after="0" w:line="240" w:lineRule="auto"/>
              <w:rPr>
                <w:rFonts w:ascii="Times New Roman" w:eastAsia="Times New Roman" w:hAnsi="Times New Roman"/>
                <w:sz w:val="24"/>
                <w:szCs w:val="24"/>
              </w:rPr>
            </w:pPr>
          </w:p>
        </w:tc>
        <w:tc>
          <w:tcPr>
            <w:tcW w:w="6269" w:type="dxa"/>
            <w:gridSpan w:val="2"/>
          </w:tcPr>
          <w:p w:rsidR="008B67B2" w:rsidRDefault="008B67B2">
            <w:pPr>
              <w:spacing w:after="0" w:line="240" w:lineRule="auto"/>
              <w:rPr>
                <w:rFonts w:ascii="Times New Roman" w:eastAsia="Times New Roman" w:hAnsi="Times New Roman"/>
                <w:sz w:val="24"/>
                <w:szCs w:val="24"/>
              </w:rPr>
            </w:pPr>
          </w:p>
        </w:tc>
      </w:tr>
      <w:tr w:rsidR="008B67B2" w:rsidTr="008B67B2">
        <w:tc>
          <w:tcPr>
            <w:tcW w:w="1576" w:type="dxa"/>
            <w:hideMark/>
          </w:tcPr>
          <w:p w:rsidR="008B67B2" w:rsidRDefault="008B67B2">
            <w:pPr>
              <w:spacing w:after="0" w:line="240" w:lineRule="auto"/>
              <w:rPr>
                <w:rFonts w:ascii="Times New Roman" w:eastAsia="Times New Roman" w:hAnsi="Times New Roman"/>
                <w:sz w:val="24"/>
                <w:szCs w:val="24"/>
              </w:rPr>
            </w:pPr>
            <w:r>
              <w:rPr>
                <w:rFonts w:ascii="Times New Roman" w:eastAsia="Times New Roman" w:hAnsi="Times New Roman"/>
                <w:sz w:val="24"/>
                <w:szCs w:val="24"/>
              </w:rPr>
              <w:t>Yürürlüğe Giriş</w:t>
            </w:r>
          </w:p>
        </w:tc>
        <w:tc>
          <w:tcPr>
            <w:tcW w:w="7712" w:type="dxa"/>
            <w:gridSpan w:val="3"/>
            <w:hideMark/>
          </w:tcPr>
          <w:p w:rsidR="008B67B2" w:rsidRDefault="008B67B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Bu Yasa, Resmi </w:t>
            </w:r>
            <w:proofErr w:type="spellStart"/>
            <w:r>
              <w:rPr>
                <w:rFonts w:ascii="Times New Roman" w:eastAsia="Times New Roman" w:hAnsi="Times New Roman"/>
                <w:sz w:val="24"/>
                <w:szCs w:val="24"/>
              </w:rPr>
              <w:t>Gazete’de</w:t>
            </w:r>
            <w:proofErr w:type="spellEnd"/>
            <w:r>
              <w:rPr>
                <w:rFonts w:ascii="Times New Roman" w:eastAsia="Times New Roman" w:hAnsi="Times New Roman"/>
                <w:sz w:val="24"/>
                <w:szCs w:val="24"/>
              </w:rPr>
              <w:t xml:space="preserve"> yayımlandığı tarihten başlayarak yürürlüğe girer.</w:t>
            </w:r>
          </w:p>
        </w:tc>
      </w:tr>
    </w:tbl>
    <w:p w:rsidR="008B67B2" w:rsidRDefault="008B67B2" w:rsidP="008B67B2">
      <w:pPr>
        <w:spacing w:after="0" w:line="240" w:lineRule="auto"/>
        <w:rPr>
          <w:rFonts w:ascii="Times New Roman" w:eastAsia="Times New Roman" w:hAnsi="Times New Roman"/>
          <w:sz w:val="24"/>
          <w:szCs w:val="24"/>
        </w:rPr>
      </w:pPr>
    </w:p>
    <w:p w:rsidR="008B67B2" w:rsidRDefault="008B67B2" w:rsidP="008B67B2">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8B67B2" w:rsidRDefault="008B67B2" w:rsidP="008B67B2">
      <w:pPr>
        <w:tabs>
          <w:tab w:val="left" w:pos="141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8B67B2" w:rsidRDefault="008B67B2" w:rsidP="008B67B2">
      <w:pPr>
        <w:tabs>
          <w:tab w:val="left" w:pos="1418"/>
        </w:tabs>
        <w:spacing w:after="0" w:line="240" w:lineRule="auto"/>
        <w:jc w:val="both"/>
        <w:rPr>
          <w:rFonts w:ascii="Times New Roman" w:eastAsia="Times New Roman" w:hAnsi="Times New Roman"/>
          <w:sz w:val="24"/>
          <w:szCs w:val="24"/>
        </w:rPr>
      </w:pPr>
    </w:p>
    <w:p w:rsidR="008B67B2" w:rsidRDefault="008B67B2" w:rsidP="008B67B2">
      <w:pPr>
        <w:spacing w:after="0" w:line="240" w:lineRule="auto"/>
        <w:ind w:left="2127"/>
        <w:jc w:val="both"/>
        <w:rPr>
          <w:rFonts w:ascii="Times New Roman" w:eastAsia="Times New Roman" w:hAnsi="Times New Roman"/>
          <w:sz w:val="24"/>
          <w:szCs w:val="24"/>
        </w:rPr>
      </w:pPr>
    </w:p>
    <w:p w:rsidR="008B67B2" w:rsidRDefault="008B67B2" w:rsidP="008B67B2">
      <w:pPr>
        <w:tabs>
          <w:tab w:val="left" w:pos="1418"/>
        </w:tabs>
        <w:spacing w:after="0" w:line="240" w:lineRule="auto"/>
        <w:jc w:val="both"/>
        <w:rPr>
          <w:rFonts w:ascii="Times New Roman" w:eastAsia="Times New Roman" w:hAnsi="Times New Roman"/>
          <w:sz w:val="24"/>
          <w:szCs w:val="24"/>
        </w:rPr>
      </w:pPr>
    </w:p>
    <w:p w:rsidR="008B67B2" w:rsidRDefault="008B67B2" w:rsidP="008B67B2">
      <w:pPr>
        <w:spacing w:after="0" w:line="240" w:lineRule="auto"/>
        <w:ind w:left="1440"/>
        <w:jc w:val="center"/>
        <w:rPr>
          <w:rFonts w:ascii="Times New Roman" w:eastAsia="Times New Roman" w:hAnsi="Times New Roman"/>
          <w:b/>
          <w:bCs/>
          <w:sz w:val="24"/>
          <w:szCs w:val="24"/>
          <w:u w:val="single"/>
        </w:rPr>
      </w:pPr>
    </w:p>
    <w:p w:rsidR="008B67B2" w:rsidRDefault="008B67B2" w:rsidP="008B67B2">
      <w:pPr>
        <w:rPr>
          <w:rFonts w:ascii="Times New Roman" w:hAnsi="Times New Roman"/>
          <w:sz w:val="24"/>
          <w:szCs w:val="24"/>
        </w:rPr>
      </w:pPr>
    </w:p>
    <w:p w:rsidR="00617594" w:rsidRDefault="00617594"/>
    <w:sectPr w:rsidR="00617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B2"/>
    <w:rsid w:val="00293ED0"/>
    <w:rsid w:val="00617594"/>
    <w:rsid w:val="008B67B2"/>
    <w:rsid w:val="00B95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22706">
      <w:bodyDiv w:val="1"/>
      <w:marLeft w:val="0"/>
      <w:marRight w:val="0"/>
      <w:marTop w:val="0"/>
      <w:marBottom w:val="0"/>
      <w:divBdr>
        <w:top w:val="none" w:sz="0" w:space="0" w:color="auto"/>
        <w:left w:val="none" w:sz="0" w:space="0" w:color="auto"/>
        <w:bottom w:val="none" w:sz="0" w:space="0" w:color="auto"/>
        <w:right w:val="none" w:sz="0" w:space="0" w:color="auto"/>
      </w:divBdr>
    </w:div>
    <w:div w:id="12871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guliz.avkan</cp:lastModifiedBy>
  <cp:revision>3</cp:revision>
  <dcterms:created xsi:type="dcterms:W3CDTF">2017-05-29T10:20:00Z</dcterms:created>
  <dcterms:modified xsi:type="dcterms:W3CDTF">2017-07-04T08:43:00Z</dcterms:modified>
</cp:coreProperties>
</file>