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0A0" w:firstRow="1" w:lastRow="0" w:firstColumn="1" w:lastColumn="0" w:noHBand="0" w:noVBand="0"/>
      </w:tblPr>
      <w:tblGrid>
        <w:gridCol w:w="1695"/>
        <w:gridCol w:w="432"/>
        <w:gridCol w:w="1593"/>
        <w:gridCol w:w="850"/>
        <w:gridCol w:w="567"/>
        <w:gridCol w:w="709"/>
        <w:gridCol w:w="4077"/>
      </w:tblGrid>
      <w:tr w:rsidR="006C763C" w:rsidTr="003B7B54">
        <w:trPr>
          <w:trHeight w:val="156"/>
        </w:trPr>
        <w:tc>
          <w:tcPr>
            <w:tcW w:w="9923" w:type="dxa"/>
            <w:gridSpan w:val="7"/>
            <w:hideMark/>
          </w:tcPr>
          <w:tbl>
            <w:tblPr>
              <w:tblW w:w="9640" w:type="dxa"/>
              <w:tblLayout w:type="fixed"/>
              <w:tblLook w:val="00A0" w:firstRow="1" w:lastRow="0" w:firstColumn="1" w:lastColumn="0" w:noHBand="0" w:noVBand="0"/>
            </w:tblPr>
            <w:tblGrid>
              <w:gridCol w:w="9640"/>
            </w:tblGrid>
            <w:tr w:rsidR="003B7B54" w:rsidRPr="002F1042" w:rsidTr="008D2057">
              <w:tc>
                <w:tcPr>
                  <w:tcW w:w="9640" w:type="dxa"/>
                  <w:hideMark/>
                </w:tcPr>
                <w:p w:rsidR="003B7B54" w:rsidRPr="003B7B54" w:rsidRDefault="003B7B54" w:rsidP="003B7B54">
                  <w:pPr>
                    <w:spacing w:after="200" w:line="276" w:lineRule="auto"/>
                    <w:jc w:val="both"/>
                    <w:rPr>
                      <w:rFonts w:ascii="Times New Roman" w:hAnsi="Times New Roman" w:cs="Times New Roman"/>
                      <w:b/>
                      <w:bCs/>
                      <w:sz w:val="24"/>
                      <w:szCs w:val="24"/>
                    </w:rPr>
                  </w:pPr>
                  <w:r w:rsidRPr="002F1042">
                    <w:rPr>
                      <w:b/>
                      <w:bCs/>
                    </w:rPr>
                    <w:br w:type="page"/>
                  </w:r>
                  <w:r w:rsidRPr="003B7B54">
                    <w:rPr>
                      <w:rFonts w:ascii="Times New Roman" w:hAnsi="Times New Roman" w:cs="Times New Roman"/>
                      <w:b/>
                      <w:bCs/>
                      <w:sz w:val="24"/>
                      <w:szCs w:val="24"/>
                    </w:rPr>
                    <w:t xml:space="preserve">Kuzey Kıbrıs Türk Cumhuriyeti Cumhuriyet Meclisi’nin </w:t>
                  </w:r>
                  <w:r>
                    <w:rPr>
                      <w:rFonts w:ascii="Times New Roman" w:hAnsi="Times New Roman" w:cs="Times New Roman"/>
                      <w:b/>
                      <w:bCs/>
                      <w:sz w:val="24"/>
                      <w:szCs w:val="24"/>
                    </w:rPr>
                    <w:t>11 Mart</w:t>
                  </w:r>
                  <w:r w:rsidRPr="003B7B54">
                    <w:rPr>
                      <w:rFonts w:ascii="Times New Roman" w:hAnsi="Times New Roman" w:cs="Times New Roman"/>
                      <w:b/>
                      <w:bCs/>
                      <w:sz w:val="24"/>
                      <w:szCs w:val="24"/>
                    </w:rPr>
                    <w:t xml:space="preserve"> 2019 tarihli </w:t>
                  </w:r>
                  <w:proofErr w:type="spellStart"/>
                  <w:r>
                    <w:rPr>
                      <w:rFonts w:ascii="Times New Roman" w:hAnsi="Times New Roman" w:cs="Times New Roman"/>
                      <w:b/>
                      <w:bCs/>
                      <w:sz w:val="24"/>
                      <w:szCs w:val="24"/>
                    </w:rPr>
                    <w:t>Kırkaltıncı</w:t>
                  </w:r>
                  <w:proofErr w:type="spellEnd"/>
                  <w:r w:rsidRPr="003B7B54">
                    <w:rPr>
                      <w:rFonts w:ascii="Times New Roman" w:hAnsi="Times New Roman" w:cs="Times New Roman"/>
                      <w:b/>
                      <w:bCs/>
                      <w:sz w:val="24"/>
                      <w:szCs w:val="24"/>
                    </w:rPr>
                    <w:t xml:space="preserve"> Birleşiminde Oybirliğiyle kabul olunan “</w:t>
                  </w:r>
                  <w:r>
                    <w:rPr>
                      <w:rFonts w:ascii="Times New Roman" w:hAnsi="Times New Roman" w:cs="Times New Roman"/>
                      <w:b/>
                      <w:bCs/>
                      <w:sz w:val="24"/>
                      <w:szCs w:val="24"/>
                    </w:rPr>
                    <w:t>Güvenlik Kamu Görevlileri (Değişiklik) Yasası</w:t>
                  </w:r>
                  <w:r w:rsidRPr="003B7B54">
                    <w:rPr>
                      <w:rFonts w:ascii="Times New Roman" w:hAnsi="Times New Roman" w:cs="Times New Roman"/>
                      <w:b/>
                      <w:bCs/>
                      <w:sz w:val="24"/>
                      <w:szCs w:val="24"/>
                    </w:rPr>
                    <w:t xml:space="preserve">” Anayasanın 94’üncü maddesinin (1)’inci fıkrası gereğince Kuzey Kıbrıs Türk Cumhuriyeti Cumhurbaşkanı tarafından Resmi </w:t>
                  </w:r>
                  <w:proofErr w:type="spellStart"/>
                  <w:r w:rsidRPr="003B7B54">
                    <w:rPr>
                      <w:rFonts w:ascii="Times New Roman" w:hAnsi="Times New Roman" w:cs="Times New Roman"/>
                      <w:b/>
                      <w:bCs/>
                      <w:sz w:val="24"/>
                      <w:szCs w:val="24"/>
                    </w:rPr>
                    <w:t>Gazete’de</w:t>
                  </w:r>
                  <w:proofErr w:type="spellEnd"/>
                  <w:r w:rsidRPr="003B7B54">
                    <w:rPr>
                      <w:rFonts w:ascii="Times New Roman" w:hAnsi="Times New Roman" w:cs="Times New Roman"/>
                      <w:b/>
                      <w:bCs/>
                      <w:sz w:val="24"/>
                      <w:szCs w:val="24"/>
                    </w:rPr>
                    <w:t xml:space="preserve"> yayımlanmak suretiyle ilan olunur.</w:t>
                  </w:r>
                </w:p>
              </w:tc>
            </w:tr>
            <w:tr w:rsidR="003B7B54" w:rsidRPr="002F1042" w:rsidTr="008D2057">
              <w:trPr>
                <w:trHeight w:val="242"/>
              </w:trPr>
              <w:tc>
                <w:tcPr>
                  <w:tcW w:w="9640" w:type="dxa"/>
                </w:tcPr>
                <w:p w:rsidR="003B7B54" w:rsidRPr="002F1042" w:rsidRDefault="003B7B54" w:rsidP="008D2057">
                  <w:pPr>
                    <w:spacing w:after="200" w:line="276" w:lineRule="auto"/>
                    <w:jc w:val="both"/>
                    <w:rPr>
                      <w:b/>
                      <w:bCs/>
                    </w:rPr>
                  </w:pPr>
                </w:p>
              </w:tc>
            </w:tr>
            <w:tr w:rsidR="003B7B54" w:rsidRPr="002F1042" w:rsidTr="008D2057">
              <w:trPr>
                <w:trHeight w:val="242"/>
              </w:trPr>
              <w:tc>
                <w:tcPr>
                  <w:tcW w:w="9640" w:type="dxa"/>
                </w:tcPr>
                <w:p w:rsidR="003B7B54" w:rsidRPr="002F1042" w:rsidRDefault="003B7B54" w:rsidP="008D2057">
                  <w:pPr>
                    <w:spacing w:after="200" w:line="276" w:lineRule="auto"/>
                    <w:jc w:val="both"/>
                    <w:rPr>
                      <w:b/>
                      <w:bCs/>
                    </w:rPr>
                  </w:pPr>
                </w:p>
              </w:tc>
            </w:tr>
            <w:tr w:rsidR="003B7B54" w:rsidRPr="002F1042" w:rsidTr="008D2057">
              <w:trPr>
                <w:trHeight w:val="242"/>
              </w:trPr>
              <w:tc>
                <w:tcPr>
                  <w:tcW w:w="9640" w:type="dxa"/>
                </w:tcPr>
                <w:p w:rsidR="003B7B54" w:rsidRPr="003B7B54" w:rsidRDefault="003B7B54" w:rsidP="008D2057">
                  <w:pPr>
                    <w:spacing w:after="200" w:line="276" w:lineRule="auto"/>
                    <w:jc w:val="center"/>
                    <w:rPr>
                      <w:rFonts w:ascii="Times New Roman" w:hAnsi="Times New Roman" w:cs="Times New Roman"/>
                      <w:b/>
                      <w:bCs/>
                      <w:sz w:val="24"/>
                      <w:szCs w:val="24"/>
                    </w:rPr>
                  </w:pPr>
                  <w:r w:rsidRPr="003B7B54">
                    <w:rPr>
                      <w:rFonts w:ascii="Times New Roman" w:hAnsi="Times New Roman" w:cs="Times New Roman"/>
                      <w:b/>
                      <w:bCs/>
                      <w:sz w:val="24"/>
                      <w:szCs w:val="24"/>
                    </w:rPr>
                    <w:t>Sayı: 1</w:t>
                  </w:r>
                  <w:r w:rsidRPr="003B7B54">
                    <w:rPr>
                      <w:rFonts w:ascii="Times New Roman" w:hAnsi="Times New Roman" w:cs="Times New Roman"/>
                      <w:b/>
                      <w:bCs/>
                      <w:sz w:val="24"/>
                      <w:szCs w:val="24"/>
                    </w:rPr>
                    <w:t>7</w:t>
                  </w:r>
                  <w:r w:rsidRPr="003B7B54">
                    <w:rPr>
                      <w:rFonts w:ascii="Times New Roman" w:hAnsi="Times New Roman" w:cs="Times New Roman"/>
                      <w:b/>
                      <w:bCs/>
                      <w:sz w:val="24"/>
                      <w:szCs w:val="24"/>
                    </w:rPr>
                    <w:t>/2019</w:t>
                  </w:r>
                </w:p>
              </w:tc>
            </w:tr>
          </w:tbl>
          <w:p w:rsidR="003B7B54" w:rsidRDefault="003B7B54" w:rsidP="003B7B54">
            <w:pPr>
              <w:spacing w:after="0" w:line="240" w:lineRule="auto"/>
              <w:rPr>
                <w:rFonts w:ascii="Times New Roman" w:hAnsi="Times New Roman" w:cs="Times New Roman"/>
                <w:sz w:val="24"/>
                <w:szCs w:val="24"/>
              </w:rPr>
            </w:pPr>
          </w:p>
          <w:p w:rsidR="003B7B54" w:rsidRDefault="003B7B54">
            <w:pPr>
              <w:spacing w:after="0" w:line="240" w:lineRule="auto"/>
              <w:jc w:val="center"/>
              <w:rPr>
                <w:rFonts w:ascii="Times New Roman" w:hAnsi="Times New Roman" w:cs="Times New Roman"/>
                <w:sz w:val="24"/>
                <w:szCs w:val="24"/>
              </w:rPr>
            </w:pPr>
          </w:p>
          <w:p w:rsidR="006C763C" w:rsidRDefault="006C7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GÜVENLİK KAMU GÖREVLİLERİ (DEĞİŞİKLİK)</w:t>
            </w:r>
          </w:p>
          <w:p w:rsidR="006C763C" w:rsidRDefault="006C763C" w:rsidP="006C7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YASA</w:t>
            </w:r>
            <w:r>
              <w:rPr>
                <w:rFonts w:ascii="Times New Roman" w:hAnsi="Times New Roman" w:cs="Times New Roman"/>
                <w:sz w:val="24"/>
                <w:szCs w:val="24"/>
              </w:rPr>
              <w:t>SI</w:t>
            </w:r>
          </w:p>
        </w:tc>
      </w:tr>
      <w:tr w:rsidR="006C763C" w:rsidTr="003B7B54">
        <w:trPr>
          <w:trHeight w:val="156"/>
        </w:trPr>
        <w:tc>
          <w:tcPr>
            <w:tcW w:w="1695" w:type="dxa"/>
          </w:tcPr>
          <w:p w:rsidR="006C763C" w:rsidRDefault="006C763C">
            <w:pPr>
              <w:spacing w:after="0" w:line="240" w:lineRule="auto"/>
              <w:rPr>
                <w:rFonts w:ascii="Times New Roman" w:hAnsi="Times New Roman" w:cs="Times New Roman"/>
                <w:sz w:val="24"/>
                <w:szCs w:val="24"/>
              </w:rPr>
            </w:pPr>
          </w:p>
        </w:tc>
        <w:tc>
          <w:tcPr>
            <w:tcW w:w="8228" w:type="dxa"/>
            <w:gridSpan w:val="6"/>
          </w:tcPr>
          <w:p w:rsidR="006C763C" w:rsidRDefault="006C763C">
            <w:pPr>
              <w:spacing w:after="0" w:line="240" w:lineRule="auto"/>
              <w:jc w:val="both"/>
              <w:rPr>
                <w:rFonts w:ascii="Times New Roman" w:hAnsi="Times New Roman" w:cs="Times New Roman"/>
                <w:sz w:val="24"/>
                <w:szCs w:val="24"/>
              </w:rPr>
            </w:pPr>
          </w:p>
        </w:tc>
      </w:tr>
      <w:tr w:rsidR="006C763C" w:rsidTr="003B7B54">
        <w:trPr>
          <w:trHeight w:val="156"/>
        </w:trPr>
        <w:tc>
          <w:tcPr>
            <w:tcW w:w="1695" w:type="dxa"/>
          </w:tcPr>
          <w:p w:rsidR="006C763C" w:rsidRDefault="006C763C">
            <w:pPr>
              <w:spacing w:after="0" w:line="240" w:lineRule="auto"/>
              <w:rPr>
                <w:rFonts w:ascii="Times New Roman" w:hAnsi="Times New Roman" w:cs="Times New Roman"/>
                <w:sz w:val="24"/>
                <w:szCs w:val="24"/>
              </w:rPr>
            </w:pPr>
          </w:p>
        </w:tc>
        <w:tc>
          <w:tcPr>
            <w:tcW w:w="8228" w:type="dxa"/>
            <w:gridSpan w:val="6"/>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Kuzey Kıbrıs Türk Cumhuriyeti Cumhuriyet Meclisi aşağıdaki Yasayı yapar:</w:t>
            </w:r>
          </w:p>
        </w:tc>
      </w:tr>
      <w:tr w:rsidR="006C763C" w:rsidTr="003B7B54">
        <w:trPr>
          <w:trHeight w:val="156"/>
        </w:trPr>
        <w:tc>
          <w:tcPr>
            <w:tcW w:w="1695" w:type="dxa"/>
          </w:tcPr>
          <w:p w:rsidR="006C763C" w:rsidRDefault="006C763C">
            <w:pPr>
              <w:spacing w:after="0" w:line="240" w:lineRule="auto"/>
              <w:rPr>
                <w:rFonts w:ascii="Times New Roman" w:hAnsi="Times New Roman" w:cs="Times New Roman"/>
                <w:sz w:val="24"/>
                <w:szCs w:val="24"/>
              </w:rPr>
            </w:pPr>
          </w:p>
        </w:tc>
        <w:tc>
          <w:tcPr>
            <w:tcW w:w="8228" w:type="dxa"/>
            <w:gridSpan w:val="6"/>
          </w:tcPr>
          <w:p w:rsidR="006C763C" w:rsidRDefault="006C763C">
            <w:pPr>
              <w:spacing w:after="0" w:line="240" w:lineRule="auto"/>
              <w:jc w:val="both"/>
              <w:rPr>
                <w:rFonts w:ascii="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Kısa İsim</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15/1979</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28/1981</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1/1982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17/1982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10/1984</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33/1984</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7/1985</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37/1986</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33/1987</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62/1987</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12/1988</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30/1988</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15/1989</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5/1990</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12/1991</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81/1991</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13/1992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24/1992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4/1993</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54/1993</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3/1994</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9/1995</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20/1995</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10/1996</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13/1996</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18/1997</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14/1998</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35/1998</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5/1999</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5/2000</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17/2000</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15/2001</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24/2002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40/2002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67/2002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70/2002</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6/2003</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46/2003</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65/2003</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37/2004</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31/2005</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33/2005</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43/2006</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58/2007</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87/2007</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76/2009</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83/2009</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30/2012</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35/2013</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7/2015</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45/2015</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32/2016</w:t>
            </w:r>
          </w:p>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42/2017</w:t>
            </w:r>
          </w:p>
        </w:tc>
        <w:tc>
          <w:tcPr>
            <w:tcW w:w="8228" w:type="dxa"/>
            <w:gridSpan w:val="6"/>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Bu Yasa, Güvenlik Kamu Görevlileri (Değişiklik) Yasası olarak isimlendirilir ve aşağıda “Esas Yasa” olarak anılan Güvenlik Kamu Görevlileri Yasası ile birlikte okunur.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8228" w:type="dxa"/>
            <w:gridSpan w:val="6"/>
          </w:tcPr>
          <w:p w:rsidR="006C763C" w:rsidRDefault="006C763C">
            <w:pPr>
              <w:spacing w:after="0" w:line="240" w:lineRule="auto"/>
              <w:jc w:val="both"/>
              <w:rPr>
                <w:rFonts w:ascii="Times New Roman" w:hAnsi="Times New Roman" w:cs="Times New Roman"/>
                <w:sz w:val="24"/>
                <w:szCs w:val="24"/>
              </w:rPr>
            </w:pPr>
          </w:p>
        </w:tc>
      </w:tr>
      <w:tr w:rsidR="006C763C" w:rsidTr="003B7B54">
        <w:tc>
          <w:tcPr>
            <w:tcW w:w="1695" w:type="dxa"/>
            <w:hideMark/>
          </w:tcPr>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Esas Yasanın 56A</w:t>
            </w:r>
          </w:p>
        </w:tc>
        <w:tc>
          <w:tcPr>
            <w:tcW w:w="8228" w:type="dxa"/>
            <w:gridSpan w:val="6"/>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Esas Yasa, 56A maddesi kaldırılmak ve yerine aşağıdaki yeni 56A maddesi                                konmak suretiyle değiştirilir:</w:t>
            </w: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Maddesinin</w:t>
            </w:r>
          </w:p>
        </w:tc>
        <w:tc>
          <w:tcPr>
            <w:tcW w:w="8228" w:type="dxa"/>
            <w:gridSpan w:val="6"/>
          </w:tcPr>
          <w:p w:rsidR="006C763C" w:rsidRDefault="006C763C">
            <w:pPr>
              <w:spacing w:after="0" w:line="240" w:lineRule="auto"/>
              <w:jc w:val="both"/>
              <w:rPr>
                <w:rFonts w:ascii="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Değiştirilmesi</w:t>
            </w: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r>
              <w:rPr>
                <w:rFonts w:ascii="Times New Roman" w:hAnsi="Times New Roman" w:cs="Times New Roman"/>
                <w:sz w:val="24"/>
                <w:szCs w:val="24"/>
              </w:rPr>
              <w:t>“Harp Enstitüsü Eğitimlerine Gönderilme</w:t>
            </w:r>
          </w:p>
          <w:p w:rsidR="006C763C" w:rsidRDefault="006C763C">
            <w:pPr>
              <w:spacing w:after="0" w:line="240" w:lineRule="auto"/>
              <w:rPr>
                <w:rFonts w:ascii="Times New Roman" w:hAnsi="Times New Roman" w:cs="Times New Roman"/>
                <w:sz w:val="24"/>
                <w:szCs w:val="24"/>
              </w:rPr>
            </w:pPr>
          </w:p>
        </w:tc>
        <w:tc>
          <w:tcPr>
            <w:tcW w:w="850"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56A.</w:t>
            </w: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Güvenlik Kuvvetleri Komutanlığında muvazzaf subay olarak görev yapmakta olan personelden aşağıdaki bentlerde yer alan koşulları haiz olanlara, masraf personele ait olmak üzere, Türkiye Cumhuriyeti Milli Savunma Üniversitesi bünyesindeki Harp Enstitülerinde verilen </w:t>
            </w:r>
            <w:proofErr w:type="gramStart"/>
            <w:r>
              <w:rPr>
                <w:rFonts w:ascii="Times New Roman" w:eastAsia="Times New Roman" w:hAnsi="Times New Roman" w:cs="Times New Roman"/>
                <w:sz w:val="24"/>
                <w:szCs w:val="24"/>
              </w:rPr>
              <w:t>Karargah</w:t>
            </w:r>
            <w:proofErr w:type="gramEnd"/>
            <w:r>
              <w:rPr>
                <w:rFonts w:ascii="Times New Roman" w:eastAsia="Times New Roman" w:hAnsi="Times New Roman" w:cs="Times New Roman"/>
                <w:sz w:val="24"/>
                <w:szCs w:val="24"/>
              </w:rPr>
              <w:t xml:space="preserve"> Subaylığı Eğitimi giriş sınavlarına katılma hakkı verilir. </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709" w:type="dxa"/>
            <w:hideMark/>
          </w:tcPr>
          <w:p w:rsidR="006C763C" w:rsidRDefault="006C7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77" w:type="dxa"/>
            <w:hideMark/>
          </w:tcPr>
          <w:p w:rsidR="006C763C" w:rsidRDefault="006C763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Karargah</w:t>
            </w:r>
            <w:proofErr w:type="gramEnd"/>
            <w:r>
              <w:rPr>
                <w:rFonts w:ascii="Times New Roman" w:eastAsia="Times New Roman" w:hAnsi="Times New Roman" w:cs="Times New Roman"/>
                <w:sz w:val="24"/>
                <w:szCs w:val="24"/>
              </w:rPr>
              <w:t xml:space="preserve"> Subaylığı giriş sınavı tarihinde Güvenlik Kuvvetleri Komutanlığında muvazzaf subay olarak altıncı hizmet yılını doldurmuş ve on ikinci hizmet yılını doldurmamış olmak,</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709" w:type="dxa"/>
            <w:hideMark/>
          </w:tcPr>
          <w:p w:rsidR="006C763C" w:rsidRDefault="006C7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077" w:type="dxa"/>
            <w:hideMark/>
          </w:tcPr>
          <w:p w:rsidR="006C763C" w:rsidRDefault="006C7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Lisans mezunu olmak,</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709" w:type="dxa"/>
            <w:hideMark/>
          </w:tcPr>
          <w:p w:rsidR="003B7B54" w:rsidRDefault="003B7B54">
            <w:pPr>
              <w:spacing w:after="0" w:line="240" w:lineRule="auto"/>
              <w:rPr>
                <w:rFonts w:ascii="Times New Roman" w:eastAsia="Times New Roman" w:hAnsi="Times New Roman" w:cs="Times New Roman"/>
                <w:sz w:val="24"/>
                <w:szCs w:val="24"/>
              </w:rPr>
            </w:pPr>
          </w:p>
          <w:p w:rsidR="003B7B54" w:rsidRDefault="003B7B54">
            <w:pPr>
              <w:spacing w:after="0" w:line="240" w:lineRule="auto"/>
              <w:rPr>
                <w:rFonts w:ascii="Times New Roman" w:eastAsia="Times New Roman" w:hAnsi="Times New Roman" w:cs="Times New Roman"/>
                <w:sz w:val="24"/>
                <w:szCs w:val="24"/>
              </w:rPr>
            </w:pPr>
          </w:p>
          <w:p w:rsidR="006C763C" w:rsidRDefault="006C7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p>
        </w:tc>
        <w:tc>
          <w:tcPr>
            <w:tcW w:w="4077" w:type="dxa"/>
            <w:hideMark/>
          </w:tcPr>
          <w:p w:rsidR="003B7B54" w:rsidRDefault="003B7B54">
            <w:pPr>
              <w:spacing w:after="0" w:line="240" w:lineRule="auto"/>
              <w:jc w:val="both"/>
              <w:rPr>
                <w:rFonts w:ascii="Times New Roman" w:eastAsia="Times New Roman" w:hAnsi="Times New Roman" w:cs="Times New Roman"/>
                <w:sz w:val="24"/>
                <w:szCs w:val="24"/>
              </w:rPr>
            </w:pPr>
          </w:p>
          <w:p w:rsidR="003B7B54" w:rsidRDefault="003B7B54">
            <w:pPr>
              <w:spacing w:after="0" w:line="240" w:lineRule="auto"/>
              <w:jc w:val="both"/>
              <w:rPr>
                <w:rFonts w:ascii="Times New Roman" w:eastAsia="Times New Roman" w:hAnsi="Times New Roman" w:cs="Times New Roman"/>
                <w:sz w:val="24"/>
                <w:szCs w:val="24"/>
              </w:rPr>
            </w:pPr>
          </w:p>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Türkiye Cumhuriyeti Millî Savunma Üniversitesi tarafından belirlenecek ilave koşullardan farklı olmamak kaydıyla Güvenlik Kuvvetleri Komutanlığınca belirlenecek diğer özel </w:t>
            </w:r>
            <w:proofErr w:type="gramStart"/>
            <w:r>
              <w:rPr>
                <w:rFonts w:ascii="Times New Roman" w:eastAsia="Times New Roman" w:hAnsi="Times New Roman" w:cs="Times New Roman"/>
                <w:sz w:val="24"/>
                <w:szCs w:val="24"/>
              </w:rPr>
              <w:t>koşulları  taşımak</w:t>
            </w:r>
            <w:proofErr w:type="gramEnd"/>
            <w:r>
              <w:rPr>
                <w:rFonts w:ascii="Times New Roman" w:eastAsia="Times New Roman" w:hAnsi="Times New Roman" w:cs="Times New Roman"/>
                <w:sz w:val="24"/>
                <w:szCs w:val="24"/>
              </w:rPr>
              <w:t xml:space="preserve">. </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86" w:type="dxa"/>
            <w:gridSpan w:val="2"/>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Karargah Subaylığı Eğitimini başarı ile tamamlayanlara </w:t>
            </w:r>
            <w:proofErr w:type="gramStart"/>
            <w:r>
              <w:rPr>
                <w:rFonts w:ascii="Times New Roman" w:hAnsi="Times New Roman" w:cs="Times New Roman"/>
                <w:sz w:val="24"/>
                <w:szCs w:val="24"/>
              </w:rPr>
              <w:t>bir  yıl</w:t>
            </w:r>
            <w:proofErr w:type="gramEnd"/>
            <w:r>
              <w:rPr>
                <w:rFonts w:ascii="Times New Roman" w:hAnsi="Times New Roman" w:cs="Times New Roman"/>
                <w:sz w:val="24"/>
                <w:szCs w:val="24"/>
              </w:rPr>
              <w:t xml:space="preserve"> kıdem verilir.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86" w:type="dxa"/>
            <w:gridSpan w:val="2"/>
            <w:hideMark/>
          </w:tcPr>
          <w:p w:rsidR="006C763C" w:rsidRDefault="006C76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Karargah</w:t>
            </w:r>
            <w:proofErr w:type="gramEnd"/>
            <w:r>
              <w:rPr>
                <w:rFonts w:ascii="Times New Roman" w:hAnsi="Times New Roman" w:cs="Times New Roman"/>
                <w:sz w:val="24"/>
                <w:szCs w:val="24"/>
              </w:rPr>
              <w:t xml:space="preserve"> Subaylığı Eğitimini başarıyla bitiren muvazzaf subaylar, on altıncı hizmet yılını doldurmamış olmak kaydıyla, masraf kendilerine ait olmak üzere Türkiye Cumhuriyeti Milli Savunma Üniversitesi bünyesindeki Harp Enstitülerinde verilen Komuta ve Kurmay Eğitimi sınavına girebilirler. Güvenlik Kuvvetleri Komutanlığının her sınav dönemi öncesinde yayımlayacağı Giriş Sınavı Emrinde belirtilen koşullar doğrultusunda başarılı olan personel, Komuta ve Kurmay Eğitimine gönderilir.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Komuta ve Kurmay Eğitimini başarı ile bitiren muvazzaf subaylara iki yıl kıdem verilir. Komuta ve Kurmay Eğitimini başarı ile bitiren muvazzaf subaylar, Güvenlik Kuvvetleri Komutanlığında kurmay subay olarak görevlerine devam ederler.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Güvenlik Kuvvetleri Komutanlığı tarafından, Müşterek Harp Enstitüsü Eğitimleri veya İlave İhtisas Eğitimlerine, Komuta ve Kurmay Eğitimlerini başarı ile bitiren muvazzaf subaylar gönderilebilirler. Müşterek Harp Enstitüsü Eğitimi veya İlave İhtisas Eğitimini bitirenlere kıdem verilmez.</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Harp Enstitülerine seçilen personel, eğitimleri süresince terfi için yarışma ve yeterlilik sınavına bağlı tutulmaz.</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9" w:type="dxa"/>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77" w:type="dxa"/>
            <w:hideMark/>
          </w:tcPr>
          <w:p w:rsidR="006C763C" w:rsidRDefault="006C763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Karargah</w:t>
            </w:r>
            <w:proofErr w:type="gramEnd"/>
            <w:r>
              <w:rPr>
                <w:rFonts w:ascii="Times New Roman" w:eastAsia="Times New Roman" w:hAnsi="Times New Roman" w:cs="Times New Roman"/>
                <w:sz w:val="24"/>
                <w:szCs w:val="24"/>
              </w:rPr>
              <w:t xml:space="preserve"> Subaylığı Eğitimi, Komuta ve Kurmay Eğitimi, Müşterek Harp Enstitüsü Eğitimi ve İlave İhtisas Eğitimlerine gönderilen muvazzaf subaylar, eğitim süresince izinli sayılırlar ve her türlü maaş ve özlük haklarını almaya devam ederler.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709" w:type="dxa"/>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077" w:type="dxa"/>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Harp Enstitüsüne ilk girişleri ve eğitimi </w:t>
            </w:r>
            <w:r>
              <w:rPr>
                <w:rFonts w:ascii="Times New Roman" w:eastAsia="Times New Roman" w:hAnsi="Times New Roman" w:cs="Times New Roman"/>
                <w:sz w:val="24"/>
                <w:szCs w:val="24"/>
              </w:rPr>
              <w:lastRenderedPageBreak/>
              <w:t xml:space="preserve">bitirdikten sonra dönüşleri için kendilerine (eş ve çocukları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yolluk verilir. Eğitim gördükleri sürece asli maaşlarının %10’u oranında eğitim yardımı almaya hak kazanırlar.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Karargah</w:t>
            </w:r>
            <w:proofErr w:type="gramEnd"/>
            <w:r>
              <w:rPr>
                <w:rFonts w:ascii="Times New Roman" w:eastAsia="Times New Roman" w:hAnsi="Times New Roman" w:cs="Times New Roman"/>
                <w:sz w:val="24"/>
                <w:szCs w:val="24"/>
              </w:rPr>
              <w:t xml:space="preserve"> Subaylığı Eğitimi, Komuta ve Kurmay Eğitimi, Müşterek Harp Enstitüsü Eğitimi ve İlave İhtisas Eğitimlerine gönderilen muvazzaf subaylar, eğitim süresince ilgili Enstitünün mevzuatı ve diğer kurallarına bağlı olarak eğitim görürler ve haklarında uygulanan her türlü disiplin ve ceza işlemleri için bu Yasa ve bu Yasa uyarınca çıkarılan tüzük kurallarına göre de işlem yapılır.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86" w:type="dxa"/>
            <w:gridSpan w:val="2"/>
            <w:hideMark/>
          </w:tcPr>
          <w:p w:rsidR="006C763C" w:rsidRDefault="006C763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Karargah</w:t>
            </w:r>
            <w:proofErr w:type="gramEnd"/>
            <w:r>
              <w:rPr>
                <w:rFonts w:ascii="Times New Roman" w:eastAsia="Times New Roman" w:hAnsi="Times New Roman" w:cs="Times New Roman"/>
                <w:sz w:val="24"/>
                <w:szCs w:val="24"/>
              </w:rPr>
              <w:t xml:space="preserve"> Subaylığı Eğitimi, Komuta ve Kurmay Eğitimi, Müşterek Harp Enstitüsü Eğitimi ve İlave İhtisas Eğitimlerine gönderilecek muvazzaf subaylara yönelik kontenjanlar, kadro ve görev ihtiyaçları dikkate alınarak Güvenlik Kuvvetleri Komutanlığınca belirlenir.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Esas Yasanın </w:t>
            </w:r>
          </w:p>
        </w:tc>
        <w:tc>
          <w:tcPr>
            <w:tcW w:w="432"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796" w:type="dxa"/>
            <w:gridSpan w:val="5"/>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Esas Yasa, 56B maddesi kaldırılmak suretiyle değiştirilir.</w:t>
            </w: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56B</w:t>
            </w: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Maddesinin</w:t>
            </w: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Kaldırılması</w:t>
            </w: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432" w:type="dxa"/>
          </w:tcPr>
          <w:p w:rsidR="006C763C" w:rsidRDefault="006C763C">
            <w:pPr>
              <w:spacing w:after="0" w:line="240" w:lineRule="auto"/>
              <w:jc w:val="both"/>
              <w:rPr>
                <w:rFonts w:ascii="Times New Roman" w:hAnsi="Times New Roman" w:cs="Times New Roman"/>
                <w:sz w:val="24"/>
                <w:szCs w:val="24"/>
              </w:rPr>
            </w:pPr>
          </w:p>
        </w:tc>
        <w:tc>
          <w:tcPr>
            <w:tcW w:w="1593" w:type="dxa"/>
          </w:tcPr>
          <w:p w:rsidR="006C763C" w:rsidRDefault="006C763C">
            <w:pPr>
              <w:spacing w:after="0" w:line="240" w:lineRule="auto"/>
              <w:rPr>
                <w:rFonts w:ascii="Times New Roman" w:hAnsi="Times New Roman" w:cs="Times New Roman"/>
                <w:sz w:val="24"/>
                <w:szCs w:val="24"/>
              </w:rPr>
            </w:pPr>
          </w:p>
        </w:tc>
        <w:tc>
          <w:tcPr>
            <w:tcW w:w="850" w:type="dxa"/>
          </w:tcPr>
          <w:p w:rsidR="006C763C" w:rsidRDefault="006C763C">
            <w:pPr>
              <w:spacing w:after="0" w:line="240" w:lineRule="auto"/>
              <w:jc w:val="both"/>
              <w:rPr>
                <w:rFonts w:ascii="Times New Roman" w:hAnsi="Times New Roman" w:cs="Times New Roman"/>
                <w:sz w:val="24"/>
                <w:szCs w:val="24"/>
              </w:rPr>
            </w:pPr>
          </w:p>
        </w:tc>
        <w:tc>
          <w:tcPr>
            <w:tcW w:w="567" w:type="dxa"/>
          </w:tcPr>
          <w:p w:rsidR="006C763C" w:rsidRDefault="006C763C">
            <w:pPr>
              <w:spacing w:after="0" w:line="240" w:lineRule="auto"/>
              <w:jc w:val="both"/>
              <w:rPr>
                <w:rFonts w:ascii="Times New Roman" w:hAnsi="Times New Roman" w:cs="Times New Roman"/>
                <w:sz w:val="24"/>
                <w:szCs w:val="24"/>
              </w:rPr>
            </w:pPr>
          </w:p>
        </w:tc>
        <w:tc>
          <w:tcPr>
            <w:tcW w:w="4786" w:type="dxa"/>
            <w:gridSpan w:val="2"/>
          </w:tcPr>
          <w:p w:rsidR="006C763C" w:rsidRDefault="006C763C">
            <w:pPr>
              <w:spacing w:after="0" w:line="240" w:lineRule="auto"/>
              <w:jc w:val="both"/>
              <w:rPr>
                <w:rFonts w:ascii="Times New Roman" w:eastAsia="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Geçici Madde </w:t>
            </w:r>
          </w:p>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Halen Eğitim Gören Personelin Kıdemi</w:t>
            </w:r>
          </w:p>
        </w:tc>
        <w:tc>
          <w:tcPr>
            <w:tcW w:w="8228" w:type="dxa"/>
            <w:gridSpan w:val="6"/>
            <w:hideMark/>
          </w:tcPr>
          <w:p w:rsidR="006C763C" w:rsidRDefault="006C763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Eylül 2017 tarihinden bu (Değişiklik) Yasasının yürürlüğe girdiği tarihe kadar, </w:t>
            </w:r>
            <w:proofErr w:type="gramStart"/>
            <w:r>
              <w:rPr>
                <w:rFonts w:ascii="Times New Roman" w:hAnsi="Times New Roman" w:cs="Times New Roman"/>
                <w:sz w:val="24"/>
                <w:szCs w:val="24"/>
              </w:rPr>
              <w:t>Karargah</w:t>
            </w:r>
            <w:proofErr w:type="gramEnd"/>
            <w:r>
              <w:rPr>
                <w:rFonts w:ascii="Times New Roman" w:hAnsi="Times New Roman" w:cs="Times New Roman"/>
                <w:sz w:val="24"/>
                <w:szCs w:val="24"/>
              </w:rPr>
              <w:t xml:space="preserve"> Subaylığı Eğitimini bitirenlere 1 (bir) yıl, Komuta ve Kurmay Eğitimini bitirenlere 2 (iki) yıl kıdem verilir.</w:t>
            </w:r>
          </w:p>
        </w:tc>
      </w:tr>
      <w:tr w:rsidR="006C763C" w:rsidTr="003B7B54">
        <w:tc>
          <w:tcPr>
            <w:tcW w:w="1695" w:type="dxa"/>
          </w:tcPr>
          <w:p w:rsidR="006C763C" w:rsidRDefault="006C763C">
            <w:pPr>
              <w:spacing w:after="0" w:line="240" w:lineRule="auto"/>
              <w:jc w:val="both"/>
              <w:rPr>
                <w:rFonts w:ascii="Times New Roman" w:hAnsi="Times New Roman" w:cs="Times New Roman"/>
                <w:sz w:val="24"/>
                <w:szCs w:val="24"/>
              </w:rPr>
            </w:pPr>
          </w:p>
        </w:tc>
        <w:tc>
          <w:tcPr>
            <w:tcW w:w="8228" w:type="dxa"/>
            <w:gridSpan w:val="6"/>
          </w:tcPr>
          <w:p w:rsidR="006C763C" w:rsidRDefault="006C763C">
            <w:pPr>
              <w:spacing w:after="0" w:line="240" w:lineRule="auto"/>
              <w:jc w:val="both"/>
              <w:rPr>
                <w:rFonts w:ascii="Times New Roman" w:hAnsi="Times New Roman" w:cs="Times New Roman"/>
                <w:sz w:val="24"/>
                <w:szCs w:val="24"/>
              </w:rPr>
            </w:pPr>
          </w:p>
        </w:tc>
      </w:tr>
      <w:tr w:rsidR="006C763C" w:rsidTr="003B7B54">
        <w:tc>
          <w:tcPr>
            <w:tcW w:w="1695" w:type="dxa"/>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Yürürlüğe Giriş</w:t>
            </w:r>
          </w:p>
        </w:tc>
        <w:tc>
          <w:tcPr>
            <w:tcW w:w="8228" w:type="dxa"/>
            <w:gridSpan w:val="6"/>
            <w:hideMark/>
          </w:tcPr>
          <w:p w:rsidR="006C763C" w:rsidRDefault="006C7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sz w:val="24"/>
              </w:rPr>
              <w:t xml:space="preserve">Bu Yasa, Resmi </w:t>
            </w:r>
            <w:proofErr w:type="spellStart"/>
            <w:r>
              <w:rPr>
                <w:rFonts w:ascii="Times New Roman" w:hAnsi="Times New Roman"/>
                <w:sz w:val="24"/>
              </w:rPr>
              <w:t>Gazete’de</w:t>
            </w:r>
            <w:proofErr w:type="spellEnd"/>
            <w:r>
              <w:rPr>
                <w:rFonts w:ascii="Times New Roman" w:hAnsi="Times New Roman"/>
                <w:sz w:val="24"/>
              </w:rPr>
              <w:t xml:space="preserve"> yayımlandığı tarihten başlayarak yürürlüğe girer.</w:t>
            </w:r>
          </w:p>
        </w:tc>
      </w:tr>
    </w:tbl>
    <w:p w:rsidR="006C763C" w:rsidRDefault="006C763C" w:rsidP="006C763C">
      <w:pPr>
        <w:spacing w:after="0" w:line="240" w:lineRule="auto"/>
        <w:jc w:val="center"/>
        <w:rPr>
          <w:rFonts w:ascii="Times New Roman" w:hAnsi="Times New Roman" w:cs="Times New Roman"/>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CF686D">
      <w:pPr>
        <w:spacing w:after="0" w:line="240" w:lineRule="auto"/>
        <w:rPr>
          <w:sz w:val="24"/>
          <w:szCs w:val="24"/>
        </w:rPr>
      </w:pPr>
      <w:bookmarkStart w:id="0" w:name="_GoBack"/>
      <w:bookmarkEnd w:id="0"/>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jc w:val="center"/>
        <w:rPr>
          <w:sz w:val="24"/>
          <w:szCs w:val="24"/>
        </w:rPr>
      </w:pPr>
    </w:p>
    <w:p w:rsidR="006C763C" w:rsidRDefault="006C763C" w:rsidP="006C763C">
      <w:pPr>
        <w:spacing w:after="0" w:line="240" w:lineRule="auto"/>
        <w:rPr>
          <w:sz w:val="24"/>
          <w:szCs w:val="24"/>
        </w:rPr>
      </w:pPr>
    </w:p>
    <w:p w:rsidR="00A851A2" w:rsidRDefault="00A851A2"/>
    <w:sectPr w:rsidR="00A851A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AE"/>
    <w:rsid w:val="003B7B54"/>
    <w:rsid w:val="006C763C"/>
    <w:rsid w:val="00A851A2"/>
    <w:rsid w:val="00C14EAE"/>
    <w:rsid w:val="00C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3C"/>
    <w:pPr>
      <w:spacing w:after="160"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3C"/>
    <w:pPr>
      <w:spacing w:after="160"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4</cp:revision>
  <dcterms:created xsi:type="dcterms:W3CDTF">2019-06-27T13:34:00Z</dcterms:created>
  <dcterms:modified xsi:type="dcterms:W3CDTF">2019-06-27T13:37:00Z</dcterms:modified>
</cp:coreProperties>
</file>