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4" w:type="dxa"/>
        <w:tblLayout w:type="fixed"/>
        <w:tblLook w:val="00A0" w:firstRow="1" w:lastRow="0" w:firstColumn="1" w:lastColumn="0" w:noHBand="0" w:noVBand="0"/>
      </w:tblPr>
      <w:tblGrid>
        <w:gridCol w:w="9645"/>
      </w:tblGrid>
      <w:tr w:rsidR="006C6A9C" w:rsidRPr="006C6A9C" w:rsidTr="006C6A9C">
        <w:tc>
          <w:tcPr>
            <w:tcW w:w="9640" w:type="dxa"/>
            <w:hideMark/>
          </w:tcPr>
          <w:p w:rsidR="006C6A9C" w:rsidRPr="006C6A9C" w:rsidRDefault="006C6A9C" w:rsidP="006C6A9C">
            <w:pPr>
              <w:jc w:val="both"/>
              <w:rPr>
                <w:rFonts w:ascii="Times New Roman" w:eastAsia="Calibri" w:hAnsi="Times New Roman" w:cs="Times New Roman"/>
                <w:b/>
                <w:bCs/>
                <w:sz w:val="24"/>
                <w:szCs w:val="24"/>
              </w:rPr>
            </w:pPr>
            <w:r w:rsidRPr="006C6A9C">
              <w:rPr>
                <w:rFonts w:ascii="Times New Roman" w:eastAsia="Calibri" w:hAnsi="Times New Roman" w:cs="Times New Roman"/>
                <w:b/>
                <w:bCs/>
                <w:sz w:val="24"/>
                <w:szCs w:val="24"/>
              </w:rPr>
              <w:br w:type="page"/>
              <w:t>Kuzey Kıbrıs Türk Cumhuriyeti</w:t>
            </w:r>
            <w:r>
              <w:rPr>
                <w:rFonts w:ascii="Times New Roman" w:eastAsia="Calibri" w:hAnsi="Times New Roman" w:cs="Times New Roman"/>
                <w:b/>
                <w:bCs/>
                <w:sz w:val="24"/>
                <w:szCs w:val="24"/>
              </w:rPr>
              <w:t xml:space="preserve"> Cumhuriyet Meclisi’nin 14 Ekim 2019 tarihli Dördüncü</w:t>
            </w:r>
            <w:r w:rsidRPr="006C6A9C">
              <w:rPr>
                <w:rFonts w:ascii="Times New Roman" w:eastAsia="Calibri" w:hAnsi="Times New Roman" w:cs="Times New Roman"/>
                <w:b/>
                <w:bCs/>
                <w:sz w:val="24"/>
                <w:szCs w:val="24"/>
              </w:rPr>
              <w:t xml:space="preserve"> Birleşiminde Oybirliğiyle kabul olunan “</w:t>
            </w:r>
            <w:r>
              <w:rPr>
                <w:rFonts w:ascii="Times New Roman" w:eastAsia="Calibri" w:hAnsi="Times New Roman" w:cs="Times New Roman"/>
                <w:b/>
                <w:bCs/>
                <w:sz w:val="24"/>
                <w:szCs w:val="24"/>
              </w:rPr>
              <w:t>Hukuk Muhakemeleri Usulü</w:t>
            </w:r>
            <w:r w:rsidRPr="006C6A9C">
              <w:rPr>
                <w:rFonts w:ascii="Times New Roman" w:eastAsia="Calibri" w:hAnsi="Times New Roman" w:cs="Times New Roman"/>
                <w:b/>
                <w:bCs/>
                <w:sz w:val="24"/>
                <w:szCs w:val="24"/>
              </w:rPr>
              <w:t xml:space="preserve"> (Değişiklik) Yasası” Anayasanın 94’üncü maddesinin (1)’inci fıkrası gereğince Kuzey Kıbrıs Türk Cumhuriyeti Cumhurbaşkanı tarafından Resmi Gazete’de yayımlanmak suretiyle ilan olunur.</w:t>
            </w:r>
          </w:p>
        </w:tc>
      </w:tr>
      <w:tr w:rsidR="006C6A9C" w:rsidRPr="006C6A9C" w:rsidTr="006C6A9C">
        <w:trPr>
          <w:trHeight w:val="242"/>
        </w:trPr>
        <w:tc>
          <w:tcPr>
            <w:tcW w:w="9640" w:type="dxa"/>
          </w:tcPr>
          <w:p w:rsidR="006C6A9C" w:rsidRPr="006C6A9C" w:rsidRDefault="006C6A9C" w:rsidP="006C6A9C">
            <w:pPr>
              <w:jc w:val="both"/>
              <w:rPr>
                <w:rFonts w:ascii="Times New Roman" w:eastAsia="Calibri" w:hAnsi="Times New Roman" w:cs="Times New Roman"/>
                <w:b/>
                <w:bCs/>
                <w:sz w:val="24"/>
                <w:szCs w:val="24"/>
              </w:rPr>
            </w:pPr>
          </w:p>
        </w:tc>
      </w:tr>
      <w:tr w:rsidR="006C6A9C" w:rsidRPr="006C6A9C" w:rsidTr="006C6A9C">
        <w:trPr>
          <w:trHeight w:val="242"/>
        </w:trPr>
        <w:tc>
          <w:tcPr>
            <w:tcW w:w="9640" w:type="dxa"/>
          </w:tcPr>
          <w:p w:rsidR="006C6A9C" w:rsidRPr="006C6A9C" w:rsidRDefault="006C6A9C" w:rsidP="006C6A9C">
            <w:pPr>
              <w:jc w:val="both"/>
              <w:rPr>
                <w:rFonts w:ascii="Times New Roman" w:eastAsia="Calibri" w:hAnsi="Times New Roman" w:cs="Times New Roman"/>
                <w:b/>
                <w:bCs/>
                <w:sz w:val="24"/>
                <w:szCs w:val="24"/>
              </w:rPr>
            </w:pPr>
          </w:p>
        </w:tc>
      </w:tr>
      <w:tr w:rsidR="006C6A9C" w:rsidRPr="006C6A9C" w:rsidTr="006C6A9C">
        <w:trPr>
          <w:trHeight w:val="242"/>
        </w:trPr>
        <w:tc>
          <w:tcPr>
            <w:tcW w:w="9640" w:type="dxa"/>
            <w:hideMark/>
          </w:tcPr>
          <w:p w:rsidR="006C6A9C" w:rsidRPr="006C6A9C" w:rsidRDefault="006C6A9C" w:rsidP="006C6A9C">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Sayı: 37</w:t>
            </w:r>
            <w:r w:rsidRPr="006C6A9C">
              <w:rPr>
                <w:rFonts w:ascii="Times New Roman" w:eastAsia="Calibri" w:hAnsi="Times New Roman" w:cs="Times New Roman"/>
                <w:b/>
                <w:bCs/>
                <w:sz w:val="24"/>
                <w:szCs w:val="24"/>
              </w:rPr>
              <w:t>/2019</w:t>
            </w:r>
          </w:p>
        </w:tc>
      </w:tr>
    </w:tbl>
    <w:p w:rsidR="004F27F8" w:rsidRPr="004F27F8" w:rsidRDefault="004F27F8" w:rsidP="00554448">
      <w:pPr>
        <w:spacing w:after="160" w:line="259" w:lineRule="auto"/>
        <w:rPr>
          <w:rFonts w:ascii="Times New Roman" w:eastAsia="Calibri" w:hAnsi="Times New Roman" w:cs="Times New Roman"/>
          <w:b/>
          <w:sz w:val="30"/>
          <w:szCs w:val="30"/>
        </w:rPr>
      </w:pPr>
    </w:p>
    <w:tbl>
      <w:tblPr>
        <w:tblStyle w:val="TableGrid"/>
        <w:tblW w:w="9889" w:type="dxa"/>
        <w:tblLayout w:type="fixed"/>
        <w:tblLook w:val="04A0" w:firstRow="1" w:lastRow="0" w:firstColumn="1" w:lastColumn="0" w:noHBand="0" w:noVBand="1"/>
      </w:tblPr>
      <w:tblGrid>
        <w:gridCol w:w="1734"/>
        <w:gridCol w:w="501"/>
        <w:gridCol w:w="567"/>
        <w:gridCol w:w="708"/>
        <w:gridCol w:w="426"/>
        <w:gridCol w:w="567"/>
        <w:gridCol w:w="567"/>
        <w:gridCol w:w="4819"/>
      </w:tblGrid>
      <w:tr w:rsidR="004F27F8" w:rsidRPr="004F27F8" w:rsidTr="004F27F8">
        <w:tc>
          <w:tcPr>
            <w:tcW w:w="9889" w:type="dxa"/>
            <w:gridSpan w:val="8"/>
            <w:tcBorders>
              <w:top w:val="nil"/>
              <w:left w:val="nil"/>
              <w:bottom w:val="nil"/>
              <w:right w:val="nil"/>
            </w:tcBorders>
            <w:shd w:val="clear" w:color="auto" w:fill="auto"/>
          </w:tcPr>
          <w:p w:rsidR="004F27F8" w:rsidRPr="004F27F8" w:rsidRDefault="004F27F8" w:rsidP="004F27F8">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F27F8">
              <w:rPr>
                <w:rFonts w:ascii="Times New Roman" w:eastAsia="Calibri" w:hAnsi="Times New Roman" w:cs="Times New Roman"/>
                <w:sz w:val="24"/>
                <w:szCs w:val="24"/>
              </w:rPr>
              <w:t>HUKUK MUHAKEMELERİ USULÜ (DEĞİŞİKLİK) YASASI</w:t>
            </w:r>
          </w:p>
          <w:p w:rsidR="004F27F8" w:rsidRPr="004F27F8" w:rsidRDefault="004F27F8" w:rsidP="004F27F8">
            <w:pPr>
              <w:rPr>
                <w:rFonts w:ascii="Times New Roman" w:eastAsia="Calibri" w:hAnsi="Times New Roman" w:cs="Times New Roman"/>
                <w:b/>
                <w:sz w:val="24"/>
                <w:szCs w:val="24"/>
              </w:rPr>
            </w:pPr>
          </w:p>
        </w:tc>
      </w:tr>
      <w:tr w:rsidR="004F27F8" w:rsidRPr="004F27F8" w:rsidTr="004F27F8">
        <w:tc>
          <w:tcPr>
            <w:tcW w:w="9889" w:type="dxa"/>
            <w:gridSpan w:val="8"/>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 xml:space="preserve">                       Kuzey Kıbrıs Türk Cumhuriyeti Cumhuriyet Meclisi aşağıdaki Yasayı yapar:</w:t>
            </w:r>
          </w:p>
          <w:p w:rsidR="004F27F8" w:rsidRPr="004F27F8" w:rsidRDefault="004F27F8" w:rsidP="004F27F8">
            <w:pPr>
              <w:rPr>
                <w:rFonts w:ascii="Times New Roman" w:eastAsia="Calibri" w:hAnsi="Times New Roman" w:cs="Times New Roman"/>
                <w:sz w:val="24"/>
                <w:szCs w:val="24"/>
              </w:rPr>
            </w:pP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Kısa İsim</w:t>
            </w:r>
          </w:p>
          <w:p w:rsidR="004F27F8" w:rsidRPr="004F27F8" w:rsidRDefault="004F27F8" w:rsidP="004F27F8">
            <w:pPr>
              <w:rPr>
                <w:rFonts w:ascii="Times New Roman" w:eastAsia="Calibri" w:hAnsi="Times New Roman" w:cs="Times New Roman"/>
                <w:sz w:val="24"/>
                <w:szCs w:val="24"/>
              </w:rPr>
            </w:pPr>
          </w:p>
        </w:tc>
        <w:tc>
          <w:tcPr>
            <w:tcW w:w="8155" w:type="dxa"/>
            <w:gridSpan w:val="7"/>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1. Bu Yasa, Hukuk Muhakemeleri Usulü (Değişiklik) Yasası olarak isimlendirilir ve aşağıda “Esas Yasa” olarak anılan Hukuk Muhakemeleri Usulü Yasası ile birlikte okunur.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01"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7654" w:type="dxa"/>
            <w:gridSpan w:val="6"/>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Esas Yasanın 14’üncü Maddesinin</w:t>
            </w:r>
          </w:p>
        </w:tc>
        <w:tc>
          <w:tcPr>
            <w:tcW w:w="501"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2.</w:t>
            </w:r>
          </w:p>
        </w:tc>
        <w:tc>
          <w:tcPr>
            <w:tcW w:w="567" w:type="dxa"/>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(1)</w:t>
            </w:r>
          </w:p>
        </w:tc>
        <w:tc>
          <w:tcPr>
            <w:tcW w:w="7087" w:type="dxa"/>
            <w:gridSpan w:val="5"/>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 xml:space="preserve">Esas Yasa, 14’üncü maddesinin (4)’üncü fıkrası kaldırılmak ve yerine aşağıdaki yeni (4)’üncü fıkra konmak suretiyle değiştirilir: </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Değiştirilmesi</w:t>
            </w:r>
          </w:p>
        </w:tc>
        <w:tc>
          <w:tcPr>
            <w:tcW w:w="501"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p>
        </w:tc>
        <w:tc>
          <w:tcPr>
            <w:tcW w:w="7087" w:type="dxa"/>
            <w:gridSpan w:val="5"/>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b/>
                <w:sz w:val="24"/>
                <w:szCs w:val="24"/>
              </w:rPr>
            </w:pPr>
          </w:p>
        </w:tc>
        <w:tc>
          <w:tcPr>
            <w:tcW w:w="501"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p>
        </w:tc>
        <w:tc>
          <w:tcPr>
            <w:tcW w:w="708" w:type="dxa"/>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“(4)</w:t>
            </w:r>
          </w:p>
        </w:tc>
        <w:tc>
          <w:tcPr>
            <w:tcW w:w="6379" w:type="dxa"/>
            <w:gridSpan w:val="4"/>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Para ödenmesini öngören herhangi bir hükmü, bir haciz müzekkeresi tahtında icra etmekle görevlendirilen herhangi bir icra memuru, Mahkeme veya Mahkeme tarafından bu konuda yetkilendirilmiş olan mukayyit tarafından hükümlü borç ve masrafları, hükümlü borçludan nakden veya kredi kartı aracılığı ile tahsil etmeye yetkili kılınabilir. Kredi kartıyla ödeme yapılması sebebiyle ortaya çıkan banka komisyonu ve diğer masraflar, hükümlü borca ilave edilmek suretiyle hükümlü borçludan tahsil edilir. Yüksek Mahkeme, kredi kartı ile tahsil yönteminin uygulanabilmesi için, uygun gördüğü sayıda Banka pos hesabı açmaya ve pos cihazlarını icra memurlarına teslim etmeye yetkilidir.”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01"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p>
        </w:tc>
        <w:tc>
          <w:tcPr>
            <w:tcW w:w="708" w:type="dxa"/>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p>
        </w:tc>
        <w:tc>
          <w:tcPr>
            <w:tcW w:w="6379" w:type="dxa"/>
            <w:gridSpan w:val="4"/>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01"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(2)</w:t>
            </w:r>
          </w:p>
        </w:tc>
        <w:tc>
          <w:tcPr>
            <w:tcW w:w="7087" w:type="dxa"/>
            <w:gridSpan w:val="5"/>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Esas Yasa, 14’üncü maddesinin (4)’üncü fıkrasından hemen sonra sırasıyla aşağıdaki yeni (5)’inci, (6)’ncı ve (7)’nci fıkralar eklenmek suretiyle değiştirilir: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01"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p>
        </w:tc>
        <w:tc>
          <w:tcPr>
            <w:tcW w:w="708" w:type="dxa"/>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p>
        </w:tc>
        <w:tc>
          <w:tcPr>
            <w:tcW w:w="6379" w:type="dxa"/>
            <w:gridSpan w:val="4"/>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01"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p>
        </w:tc>
        <w:tc>
          <w:tcPr>
            <w:tcW w:w="708" w:type="dxa"/>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“(5)</w:t>
            </w:r>
          </w:p>
        </w:tc>
        <w:tc>
          <w:tcPr>
            <w:tcW w:w="6379" w:type="dxa"/>
            <w:gridSpan w:val="4"/>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 xml:space="preserve">Yukarıdaki (4)’üncü fıkra uyarınca hareket eden bir icra memuru, Mahkemenin veya Mahkeme tarafından bu konuda yetkilendirilmiş olan mukayyidin onayı ile haciz müzekkeresinin hükümlü borcun ve masrafların tamamen ödenmesine değin yürürlükte kalması koşuluyla, bir hükümlü </w:t>
            </w:r>
            <w:r w:rsidRPr="004F27F8">
              <w:rPr>
                <w:rFonts w:ascii="Times New Roman" w:eastAsia="Calibri" w:hAnsi="Times New Roman" w:cs="Times New Roman"/>
                <w:sz w:val="24"/>
                <w:szCs w:val="24"/>
              </w:rPr>
              <w:lastRenderedPageBreak/>
              <w:t>borçlunun borcunu 4 (dört) ayı geçmeyecek şekilde taksitlerle ödemesine imkân tanıyabilir. Haciz müzekkeresine konu borcu için bu fıkra uyarınca ödemesi gereken herhangi bir taksidi gününde ödemeyen hükümlü borçlunun mütebaki borcu için haciz işlemine devam edilir.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01"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p>
        </w:tc>
        <w:tc>
          <w:tcPr>
            <w:tcW w:w="708" w:type="dxa"/>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(6)</w:t>
            </w:r>
          </w:p>
        </w:tc>
        <w:tc>
          <w:tcPr>
            <w:tcW w:w="6379" w:type="dxa"/>
            <w:gridSpan w:val="4"/>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Yukarıdaki (4)’üncü ve (5)’inci fıkra kuralları uyarınca tahsil edilen meblağlar bu Yasanın 13’üncü maddesi uyarınca işlem görür.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01"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p>
        </w:tc>
        <w:tc>
          <w:tcPr>
            <w:tcW w:w="708" w:type="dxa"/>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(7)</w:t>
            </w:r>
          </w:p>
        </w:tc>
        <w:tc>
          <w:tcPr>
            <w:tcW w:w="6379" w:type="dxa"/>
            <w:gridSpan w:val="4"/>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Yüksek Mahkeme, zilyetlik müzekkeresi ile teslim müzekkeresinin biçimi; onlarla ilgili olarak ödenecek harçlar; bu gibi müzekkerelerin çıkarılması ve icra edilmesinde izlenecek yöntem; bu madde kuralları uyarınca icra memurlarınca nakden, kredi kartı veya taksit yöntemi ile yapılacak tahsilatlarda uygulanacak usül ve kurallar dahil bu maddenin uygulanmasına yönelik hususları düzenlemek amacıyla, Resmi Gazete’de yayımlanarak yürürlüğe girecek olan Mahkeme Tüzükleri yapabilir.”</w:t>
            </w:r>
          </w:p>
        </w:tc>
      </w:tr>
      <w:tr w:rsidR="00554448" w:rsidRPr="004F27F8" w:rsidTr="004F27F8">
        <w:tc>
          <w:tcPr>
            <w:tcW w:w="1734" w:type="dxa"/>
            <w:tcBorders>
              <w:top w:val="nil"/>
              <w:left w:val="nil"/>
              <w:bottom w:val="nil"/>
              <w:right w:val="nil"/>
            </w:tcBorders>
          </w:tcPr>
          <w:p w:rsidR="00554448" w:rsidRPr="004F27F8" w:rsidRDefault="00554448" w:rsidP="004F27F8">
            <w:pPr>
              <w:rPr>
                <w:rFonts w:ascii="Times New Roman" w:eastAsia="Calibri" w:hAnsi="Times New Roman" w:cs="Times New Roman"/>
                <w:sz w:val="24"/>
                <w:szCs w:val="24"/>
              </w:rPr>
            </w:pPr>
          </w:p>
        </w:tc>
        <w:tc>
          <w:tcPr>
            <w:tcW w:w="501" w:type="dxa"/>
            <w:tcBorders>
              <w:top w:val="nil"/>
              <w:left w:val="nil"/>
              <w:bottom w:val="nil"/>
              <w:right w:val="nil"/>
            </w:tcBorders>
          </w:tcPr>
          <w:p w:rsidR="00554448" w:rsidRPr="004F27F8" w:rsidRDefault="00554448" w:rsidP="004F27F8">
            <w:pPr>
              <w:rPr>
                <w:rFonts w:ascii="Times New Roman" w:eastAsia="Calibri" w:hAnsi="Times New Roman" w:cs="Times New Roman"/>
                <w:sz w:val="24"/>
                <w:szCs w:val="24"/>
              </w:rPr>
            </w:pPr>
          </w:p>
        </w:tc>
        <w:tc>
          <w:tcPr>
            <w:tcW w:w="567" w:type="dxa"/>
            <w:tcBorders>
              <w:top w:val="nil"/>
              <w:left w:val="nil"/>
              <w:bottom w:val="nil"/>
              <w:right w:val="nil"/>
            </w:tcBorders>
          </w:tcPr>
          <w:p w:rsidR="00554448" w:rsidRPr="004F27F8" w:rsidRDefault="00554448" w:rsidP="004F27F8">
            <w:pPr>
              <w:jc w:val="both"/>
              <w:rPr>
                <w:rFonts w:ascii="Times New Roman" w:eastAsia="Calibri" w:hAnsi="Times New Roman" w:cs="Times New Roman"/>
                <w:sz w:val="24"/>
                <w:szCs w:val="24"/>
              </w:rPr>
            </w:pPr>
          </w:p>
        </w:tc>
        <w:tc>
          <w:tcPr>
            <w:tcW w:w="708" w:type="dxa"/>
            <w:tcBorders>
              <w:top w:val="nil"/>
              <w:left w:val="nil"/>
              <w:bottom w:val="nil"/>
              <w:right w:val="nil"/>
            </w:tcBorders>
          </w:tcPr>
          <w:p w:rsidR="00554448" w:rsidRPr="004F27F8" w:rsidRDefault="00554448" w:rsidP="004F27F8">
            <w:pPr>
              <w:jc w:val="both"/>
              <w:rPr>
                <w:rFonts w:ascii="Times New Roman" w:eastAsia="Calibri" w:hAnsi="Times New Roman" w:cs="Times New Roman"/>
                <w:sz w:val="24"/>
                <w:szCs w:val="24"/>
              </w:rPr>
            </w:pPr>
          </w:p>
        </w:tc>
        <w:tc>
          <w:tcPr>
            <w:tcW w:w="6379" w:type="dxa"/>
            <w:gridSpan w:val="4"/>
            <w:tcBorders>
              <w:top w:val="nil"/>
              <w:left w:val="nil"/>
              <w:bottom w:val="nil"/>
              <w:right w:val="nil"/>
            </w:tcBorders>
          </w:tcPr>
          <w:p w:rsidR="00554448" w:rsidRPr="004F27F8" w:rsidRDefault="00554448" w:rsidP="004F27F8">
            <w:pPr>
              <w:jc w:val="both"/>
              <w:rPr>
                <w:rFonts w:ascii="Times New Roman" w:eastAsia="Calibri" w:hAnsi="Times New Roman" w:cs="Times New Roman"/>
                <w:sz w:val="24"/>
                <w:szCs w:val="24"/>
              </w:rPr>
            </w:pP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br w:type="page"/>
              <w:t xml:space="preserve">Esas Yasanın 17A Maddesinin </w:t>
            </w:r>
          </w:p>
        </w:tc>
        <w:tc>
          <w:tcPr>
            <w:tcW w:w="8155" w:type="dxa"/>
            <w:gridSpan w:val="7"/>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3. Esas Yasa, 17A maddesi kaldırılmak ve yerine aşağıdaki yeni 17A maddesi konmak suretiyle değiştirilir:</w:t>
            </w:r>
          </w:p>
          <w:p w:rsidR="004F27F8" w:rsidRPr="004F27F8" w:rsidRDefault="004F27F8" w:rsidP="004F27F8">
            <w:pPr>
              <w:jc w:val="both"/>
              <w:rPr>
                <w:rFonts w:ascii="Times New Roman" w:eastAsia="Calibri" w:hAnsi="Times New Roman" w:cs="Times New Roman"/>
                <w:sz w:val="24"/>
                <w:szCs w:val="24"/>
              </w:rPr>
            </w:pP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Değiştirilmesi</w:t>
            </w:r>
          </w:p>
        </w:tc>
        <w:tc>
          <w:tcPr>
            <w:tcW w:w="501"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701" w:type="dxa"/>
            <w:gridSpan w:val="3"/>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b/>
                <w:sz w:val="24"/>
                <w:szCs w:val="24"/>
              </w:rPr>
              <w:t>“</w:t>
            </w:r>
            <w:r w:rsidRPr="004F27F8">
              <w:rPr>
                <w:rFonts w:ascii="Times New Roman" w:eastAsia="Calibri" w:hAnsi="Times New Roman" w:cs="Times New Roman"/>
                <w:sz w:val="24"/>
                <w:szCs w:val="24"/>
              </w:rPr>
              <w:t>Haczedilen Taşınır Malların Satılması</w:t>
            </w:r>
          </w:p>
        </w:tc>
        <w:tc>
          <w:tcPr>
            <w:tcW w:w="5953" w:type="dxa"/>
            <w:gridSpan w:val="3"/>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17A. Hükümlü borcun ödenmesi ile ilgili olarak bir taşınır satış müzekkeresi ısdar edildiğinde, Mahkeme; satış müzekkeresinin icrası amacıyla, icra memuru tarafından haczedilen şirket hisseleri dahil taşınır malların satılmasına ve satılan malın satın alan adına kaydolunmasına, re’sen veya başvuru üzerine herhangi bir zamanda emir verebilir.”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01"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7654" w:type="dxa"/>
            <w:gridSpan w:val="6"/>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p>
        </w:tc>
      </w:tr>
      <w:tr w:rsidR="004F27F8" w:rsidRPr="004F27F8" w:rsidTr="004F27F8">
        <w:trPr>
          <w:trHeight w:val="460"/>
        </w:trPr>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 xml:space="preserve">Esas Yasanın 19’uncu </w:t>
            </w:r>
          </w:p>
        </w:tc>
        <w:tc>
          <w:tcPr>
            <w:tcW w:w="501"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4.</w:t>
            </w:r>
          </w:p>
        </w:tc>
        <w:tc>
          <w:tcPr>
            <w:tcW w:w="7654" w:type="dxa"/>
            <w:gridSpan w:val="6"/>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Esas Yasa, 19’uncu maddesi kaldırılmak ve yerine aşağıdaki yeni 19’uncu madde konmak suretiyle değiştirilir: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Maddesinin</w:t>
            </w:r>
          </w:p>
        </w:tc>
        <w:tc>
          <w:tcPr>
            <w:tcW w:w="501"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701" w:type="dxa"/>
            <w:gridSpan w:val="3"/>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4819" w:type="dxa"/>
            <w:tcBorders>
              <w:top w:val="nil"/>
              <w:left w:val="nil"/>
              <w:bottom w:val="nil"/>
              <w:right w:val="nil"/>
            </w:tcBorders>
          </w:tcPr>
          <w:p w:rsidR="004F27F8" w:rsidRPr="004F27F8" w:rsidRDefault="004F27F8" w:rsidP="004F27F8">
            <w:pPr>
              <w:jc w:val="both"/>
              <w:rPr>
                <w:rFonts w:ascii="Times New Roman" w:eastAsia="Calibri" w:hAnsi="Times New Roman" w:cs="Times New Roman"/>
                <w:b/>
                <w:sz w:val="24"/>
                <w:szCs w:val="24"/>
              </w:rPr>
            </w:pP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Değiştirilmesi</w:t>
            </w:r>
          </w:p>
        </w:tc>
        <w:tc>
          <w:tcPr>
            <w:tcW w:w="501"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701" w:type="dxa"/>
            <w:gridSpan w:val="3"/>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“Haczedilen Taşınır Malların Satışına İlişkin Yöntem</w:t>
            </w:r>
          </w:p>
        </w:tc>
        <w:tc>
          <w:tcPr>
            <w:tcW w:w="567"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19.</w:t>
            </w:r>
          </w:p>
        </w:tc>
        <w:tc>
          <w:tcPr>
            <w:tcW w:w="567"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(1)</w:t>
            </w:r>
          </w:p>
        </w:tc>
        <w:tc>
          <w:tcPr>
            <w:tcW w:w="4819" w:type="dxa"/>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 xml:space="preserve">Bir hükmün icrası amacıyla haczedilen ve saptanmış satış bedelinin yürürlükteki aylık asgari ücretin 5 (beş) katının üzerinde olduğu saptanan taşınır mallar, Mahkemece başka türlü emir verilmedikçe, Mahkemenin vereceği direktiflere bağlı olarak bir kez açık artırma yöntemi ile satışa arz edilir. </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01"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701" w:type="dxa"/>
            <w:gridSpan w:val="3"/>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(2)</w:t>
            </w:r>
          </w:p>
        </w:tc>
        <w:tc>
          <w:tcPr>
            <w:tcW w:w="4819" w:type="dxa"/>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Muayyen satış bedeli yürürlükteki aylık asgari ücretin 5 (beş) katını</w:t>
            </w:r>
            <w:r w:rsidRPr="004F27F8">
              <w:rPr>
                <w:rFonts w:ascii="Times New Roman" w:eastAsia="Calibri" w:hAnsi="Times New Roman" w:cs="Times New Roman"/>
                <w:b/>
                <w:sz w:val="24"/>
                <w:szCs w:val="24"/>
              </w:rPr>
              <w:t xml:space="preserve"> </w:t>
            </w:r>
            <w:r w:rsidRPr="004F27F8">
              <w:rPr>
                <w:rFonts w:ascii="Times New Roman" w:eastAsia="Calibri" w:hAnsi="Times New Roman" w:cs="Times New Roman"/>
                <w:sz w:val="24"/>
                <w:szCs w:val="24"/>
              </w:rPr>
              <w:t>aşmasına rağmen yukarıdaki (1)’inci fıkra uyarınca çıkarıldığı açık artırmada satılamayan şirket hisseleri haricindeki taşınır mallar ise Mahkemeye bu amaçla tahsis edilmiş satış merkezlerinde, saptanmış bedelleri üzerinden sürekli olarak satışa arz edilir.</w:t>
            </w:r>
          </w:p>
        </w:tc>
      </w:tr>
    </w:tbl>
    <w:p w:rsidR="00554448" w:rsidRDefault="00554448">
      <w:r>
        <w:br w:type="page"/>
      </w:r>
    </w:p>
    <w:tbl>
      <w:tblPr>
        <w:tblStyle w:val="TableGrid"/>
        <w:tblW w:w="9889" w:type="dxa"/>
        <w:tblLayout w:type="fixed"/>
        <w:tblLook w:val="04A0" w:firstRow="1" w:lastRow="0" w:firstColumn="1" w:lastColumn="0" w:noHBand="0" w:noVBand="1"/>
      </w:tblPr>
      <w:tblGrid>
        <w:gridCol w:w="1734"/>
        <w:gridCol w:w="236"/>
        <w:gridCol w:w="265"/>
        <w:gridCol w:w="323"/>
        <w:gridCol w:w="669"/>
        <w:gridCol w:w="283"/>
        <w:gridCol w:w="142"/>
        <w:gridCol w:w="146"/>
        <w:gridCol w:w="138"/>
        <w:gridCol w:w="141"/>
        <w:gridCol w:w="284"/>
        <w:gridCol w:w="25"/>
        <w:gridCol w:w="117"/>
        <w:gridCol w:w="141"/>
        <w:gridCol w:w="12"/>
        <w:gridCol w:w="272"/>
        <w:gridCol w:w="142"/>
        <w:gridCol w:w="141"/>
        <w:gridCol w:w="12"/>
        <w:gridCol w:w="21"/>
        <w:gridCol w:w="251"/>
        <w:gridCol w:w="316"/>
        <w:gridCol w:w="4078"/>
      </w:tblGrid>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01" w:type="dxa"/>
            <w:gridSpan w:val="2"/>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701" w:type="dxa"/>
            <w:gridSpan w:val="6"/>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(3)</w:t>
            </w:r>
          </w:p>
        </w:tc>
        <w:tc>
          <w:tcPr>
            <w:tcW w:w="4819" w:type="dxa"/>
            <w:gridSpan w:val="6"/>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Sürekli satışa arz edilen taşınır malların saptanmış bedelleri üzerinden satılamaması halinde; satış bedeli Mahkemenin uygun göreceği devrelerde ve uygun göreceği oranlarda azaltılabilir.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01" w:type="dxa"/>
            <w:gridSpan w:val="2"/>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701" w:type="dxa"/>
            <w:gridSpan w:val="6"/>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p w:rsidR="004F27F8" w:rsidRPr="004F27F8" w:rsidRDefault="004F27F8" w:rsidP="004F27F8">
            <w:pPr>
              <w:rPr>
                <w:rFonts w:ascii="Times New Roman" w:eastAsia="Calibri" w:hAnsi="Times New Roman" w:cs="Times New Roman"/>
                <w:sz w:val="24"/>
                <w:szCs w:val="24"/>
              </w:rPr>
            </w:pPr>
          </w:p>
          <w:p w:rsidR="004F27F8" w:rsidRPr="004F27F8" w:rsidRDefault="004F27F8" w:rsidP="004F27F8">
            <w:pPr>
              <w:rPr>
                <w:rFonts w:ascii="Times New Roman" w:eastAsia="Calibri" w:hAnsi="Times New Roman" w:cs="Times New Roman"/>
                <w:sz w:val="24"/>
                <w:szCs w:val="24"/>
              </w:rPr>
            </w:pPr>
          </w:p>
          <w:p w:rsidR="004F27F8" w:rsidRPr="004F27F8" w:rsidRDefault="004F27F8" w:rsidP="004F27F8">
            <w:pPr>
              <w:rPr>
                <w:rFonts w:ascii="Times New Roman" w:eastAsia="Calibri" w:hAnsi="Times New Roman" w:cs="Times New Roman"/>
                <w:sz w:val="24"/>
                <w:szCs w:val="24"/>
              </w:rPr>
            </w:pPr>
          </w:p>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Fasıl 113</w:t>
            </w:r>
          </w:p>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 xml:space="preserve">  28/1974</w:t>
            </w:r>
          </w:p>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 xml:space="preserve">  7/1977</w:t>
            </w:r>
          </w:p>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 xml:space="preserve">  30/1983</w:t>
            </w:r>
          </w:p>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 xml:space="preserve">  28/1987</w:t>
            </w:r>
          </w:p>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 xml:space="preserve">  65/1989</w:t>
            </w:r>
          </w:p>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 xml:space="preserve">  56/1991</w:t>
            </w:r>
          </w:p>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 xml:space="preserve">  42/1997</w:t>
            </w:r>
          </w:p>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 xml:space="preserve">  29/2003  </w:t>
            </w:r>
          </w:p>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 xml:space="preserve">  35/2007</w:t>
            </w: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(4)</w:t>
            </w:r>
          </w:p>
        </w:tc>
        <w:tc>
          <w:tcPr>
            <w:tcW w:w="4819" w:type="dxa"/>
            <w:gridSpan w:val="6"/>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Hükümlü borçlunun sahip olduğu şirket hisselerinin haczedilmesi halinde; hisseler, satış bedelinin ne olduğuna bakılmaksızın, Şirketler Yasası ve şirketler ile ilgili diğer mevzuat hükümlerine uygun olarak</w:t>
            </w:r>
            <w:r w:rsidRPr="004F27F8">
              <w:rPr>
                <w:rFonts w:ascii="Times New Roman" w:eastAsia="Calibri" w:hAnsi="Times New Roman" w:cs="Times New Roman"/>
                <w:b/>
                <w:sz w:val="24"/>
                <w:szCs w:val="24"/>
              </w:rPr>
              <w:t xml:space="preserve">, </w:t>
            </w:r>
            <w:r w:rsidRPr="004F27F8">
              <w:rPr>
                <w:rFonts w:ascii="Times New Roman" w:eastAsia="Calibri" w:hAnsi="Times New Roman" w:cs="Times New Roman"/>
                <w:sz w:val="24"/>
                <w:szCs w:val="24"/>
              </w:rPr>
              <w:t>açık artırma yöntemi ile satışa arzedilir.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01" w:type="dxa"/>
            <w:gridSpan w:val="2"/>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701" w:type="dxa"/>
            <w:gridSpan w:val="6"/>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(5)</w:t>
            </w:r>
          </w:p>
        </w:tc>
        <w:tc>
          <w:tcPr>
            <w:tcW w:w="4819" w:type="dxa"/>
            <w:gridSpan w:val="6"/>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Yüksek Mahkeme; haczedilen taşınır malların satış bedelinin saptanmasına, açık artırma ve sürekli satış yöntemlerinin uygulanmasına, şirket hisselerinin satış bedelinin ve açık artırma ile satış usulünün belirlenmesine, satış bedeline itiraz edilmesine ve satışın ertelenmesi veya iptaline yönelik kuralları saptamak amacıyla, Resmi Gazete’de yayımlanarak yürürlüğe girecek olan Mahkeme Tüzükleri yapabilir.”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01" w:type="dxa"/>
            <w:gridSpan w:val="2"/>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323"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828" w:type="dxa"/>
            <w:gridSpan w:val="8"/>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684" w:type="dxa"/>
            <w:gridSpan w:val="5"/>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425"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4394" w:type="dxa"/>
            <w:gridSpan w:val="2"/>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 xml:space="preserve">Esas Yasanın 21’inci Maddesinin </w:t>
            </w:r>
          </w:p>
        </w:tc>
        <w:tc>
          <w:tcPr>
            <w:tcW w:w="8155" w:type="dxa"/>
            <w:gridSpan w:val="22"/>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5. Esas Yasa, 21’inci maddesi kaldırılmak ve yerine aşağıdaki yeni 21’inci madde konmak suretiyle değiştirilir:</w:t>
            </w:r>
          </w:p>
          <w:p w:rsidR="004F27F8" w:rsidRPr="004F27F8" w:rsidRDefault="004F27F8" w:rsidP="004F27F8">
            <w:pPr>
              <w:jc w:val="both"/>
              <w:rPr>
                <w:rFonts w:ascii="Times New Roman" w:eastAsia="Calibri" w:hAnsi="Times New Roman" w:cs="Times New Roman"/>
                <w:b/>
                <w:sz w:val="24"/>
                <w:szCs w:val="24"/>
              </w:rPr>
            </w:pP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Calibri" w:eastAsia="Calibri" w:hAnsi="Calibri" w:cs="Times New Roman"/>
              </w:rPr>
              <w:br w:type="page"/>
            </w:r>
            <w:r w:rsidRPr="004F27F8">
              <w:rPr>
                <w:rFonts w:ascii="Times New Roman" w:eastAsia="Calibri" w:hAnsi="Times New Roman" w:cs="Times New Roman"/>
                <w:sz w:val="24"/>
                <w:szCs w:val="24"/>
              </w:rPr>
              <w:t>Değiştirilmesi</w:t>
            </w: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540"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“Sahiplik Karinesi ve Üçüncü Bir Tarafça Talepte Bulunulması Halinde Yapılacak İşlemler</w:t>
            </w:r>
          </w:p>
          <w:p w:rsidR="004F27F8" w:rsidRPr="004F27F8" w:rsidRDefault="004F27F8" w:rsidP="004F27F8">
            <w:pPr>
              <w:rPr>
                <w:rFonts w:ascii="Times New Roman" w:eastAsia="Calibri" w:hAnsi="Times New Roman" w:cs="Times New Roman"/>
                <w:sz w:val="24"/>
                <w:szCs w:val="24"/>
              </w:rPr>
            </w:pPr>
          </w:p>
          <w:p w:rsidR="004F27F8" w:rsidRPr="004F27F8" w:rsidRDefault="004F27F8" w:rsidP="004F27F8">
            <w:pPr>
              <w:rPr>
                <w:rFonts w:ascii="Times New Roman" w:eastAsia="Calibri" w:hAnsi="Times New Roman" w:cs="Times New Roman"/>
                <w:sz w:val="24"/>
                <w:szCs w:val="24"/>
              </w:rPr>
            </w:pPr>
          </w:p>
          <w:p w:rsidR="004F27F8" w:rsidRPr="004F27F8" w:rsidRDefault="004F27F8" w:rsidP="004F27F8">
            <w:pPr>
              <w:rPr>
                <w:rFonts w:ascii="Times New Roman" w:eastAsia="Calibri" w:hAnsi="Times New Roman" w:cs="Times New Roman"/>
                <w:b/>
                <w:i/>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21.</w:t>
            </w: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(1)</w:t>
            </w:r>
          </w:p>
        </w:tc>
        <w:tc>
          <w:tcPr>
            <w:tcW w:w="5245" w:type="dxa"/>
            <w:gridSpan w:val="9"/>
            <w:tcBorders>
              <w:top w:val="nil"/>
              <w:left w:val="nil"/>
              <w:bottom w:val="nil"/>
              <w:right w:val="nil"/>
            </w:tcBorders>
          </w:tcPr>
          <w:p w:rsidR="004F27F8" w:rsidRPr="0055444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 xml:space="preserve">Hükümlü borçlu, bu Yasa amaçları bakımından tasarrufunda veya kontrolünde veya kullanımında bulunan veya yaşadığı konutta veya kendine ait işyerinde mevcut olan taşınır malların sahibi kabul edilir. Hükümlü borçlu ile birlikte ikamet eden aile mensuplarının veya üçüncü kişilerin mezkûr mallar üzerinde müşterek veya münferit mülkiyet iddiasında bulunması veya bu hususta düzenlenmiş belge ibraz etmesi, haczin yapılmasına engel teşkil etmez. Böyle bir durumda bu gibi kişilerin bu madde kuralları uyarınca Mahkemeye başvurması halinde, müşterek veya münferit mülkiyetin varlığını ve bahse konu mülkiyet durumunun icradan mal kaçırma amacıyla yaratılmamış </w:t>
            </w:r>
            <w:r w:rsidRPr="004F27F8">
              <w:rPr>
                <w:rFonts w:ascii="Times New Roman" w:eastAsia="Calibri" w:hAnsi="Times New Roman" w:cs="Times New Roman"/>
                <w:sz w:val="24"/>
                <w:szCs w:val="24"/>
              </w:rPr>
              <w:lastRenderedPageBreak/>
              <w:t>olduğunu kanıtlama yükü bu kişilerde olur.</w:t>
            </w:r>
            <w:bookmarkStart w:id="0" w:name="_GoBack"/>
            <w:bookmarkEnd w:id="0"/>
          </w:p>
          <w:p w:rsidR="004F27F8" w:rsidRPr="004F27F8" w:rsidRDefault="004F27F8" w:rsidP="004F27F8">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4F27F8">
              <w:rPr>
                <w:rFonts w:ascii="Times New Roman" w:eastAsia="Calibri" w:hAnsi="Times New Roman" w:cs="Times New Roman"/>
                <w:sz w:val="24"/>
                <w:szCs w:val="24"/>
              </w:rPr>
              <w:t>Ancak;</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Calibri" w:eastAsia="Calibri" w:hAnsi="Calibri" w:cs="Times New Roman"/>
              </w:rPr>
              <w:lastRenderedPageBreak/>
              <w:br w:type="page"/>
            </w: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540"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(A)</w:t>
            </w:r>
          </w:p>
        </w:tc>
        <w:tc>
          <w:tcPr>
            <w:tcW w:w="4678" w:type="dxa"/>
            <w:gridSpan w:val="5"/>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Hükümlü borçlunun veya birlikte yaşadığı kişilerin bir kira sözleşmesi tahtında mal sahibi tarafından kullanımlarına bırakılan taşınır mallar;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540"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(B)</w:t>
            </w:r>
          </w:p>
        </w:tc>
        <w:tc>
          <w:tcPr>
            <w:tcW w:w="4678" w:type="dxa"/>
            <w:gridSpan w:val="5"/>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Hükümlü borçlunun her bir aile bireyinin münhasır kişisel kullanımına özgülenmiş olup değeri yürürlükteki aylık bir asgari ücreti aşmayan eşyalar ve</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540"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(C)</w:t>
            </w:r>
          </w:p>
        </w:tc>
        <w:tc>
          <w:tcPr>
            <w:tcW w:w="4678" w:type="dxa"/>
            <w:gridSpan w:val="5"/>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Hükümlü borçlunun 18 yaşından küçük aile bireylerinin münhasır kişisel kullanımına özgülenmiş eşyalar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540"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245" w:type="dxa"/>
            <w:gridSpan w:val="9"/>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hakkında bu fıkra kuralları uygulanmaz.</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540"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(2)</w:t>
            </w:r>
          </w:p>
        </w:tc>
        <w:tc>
          <w:tcPr>
            <w:tcW w:w="5245" w:type="dxa"/>
            <w:gridSpan w:val="9"/>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Bir üçüncü kişinin adında kayıtlı olmasına karşın, hükümlü borçlunun tasarrufunda veya kontrolünde veya kullanımında bulunan motorlu araçlarla veya herhangi bir şekilde devlet veya diğer yetkili makamlar nezdinde mal sahipliği üçüncü kişi adında kayıt altında tutulmasına karşın, hükümlü borçlunun tasarrufunda veya kontrolünde veya kullanımında bulunan motorlu araçlar dışındaki taşınır mallarla ilgili olarak da yukarıdaki (1)’inci fıkra kuralları uygulanır.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540"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(3)</w:t>
            </w:r>
          </w:p>
        </w:tc>
        <w:tc>
          <w:tcPr>
            <w:tcW w:w="5245" w:type="dxa"/>
            <w:gridSpan w:val="9"/>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Yukarıdaki (1)’inci fıkra kuralları saklı kalmak kaydıyla herhangi bir hüküm veya emir uyarınca yapılan icrada zapt edilen herhangi bir taşınır mal, hükümlü borçludan başka bir kişi tarafından talep edildiğinde, bu gibi bir talepte bulunan kişi veya icra müzekkeresinin hitap ettiği kişi, mal üzerindeki hakkın karara bağlanması amacıyla bir Mahkemeye istida ile başvurabilir. Mahkeme tüm gerekli taraflara Mahkemede hazır bulunmaları için ihbarda bulunduktan sonra tarafların haklarının duruşma yolu ile kararlaştırılması için uygun göreceği ve bu arada uyuşmazlık konusu taşınır malın muhafazasına ilişkin emri verir. Mahkeme, her iki halde de, talep nedeniyle yapılan masrafların kimin tarafından ödeneceğine dair direktif verir.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540"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(4)</w:t>
            </w:r>
          </w:p>
        </w:tc>
        <w:tc>
          <w:tcPr>
            <w:tcW w:w="5245" w:type="dxa"/>
            <w:gridSpan w:val="9"/>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 xml:space="preserve">Mahkeme, yukarıdaki (3)’üncü fıkra uyarınca kendisine yapılan istidayı karara bağlarken özellikle hak talebinde bulunan kişinin, haczedilen taşınır malın alımı için ödeme yaptığını gösterip gösteremediğini ve böyle bir ödeme yaptığını göstermesi halinde, işbu hususun hükümlü borçlu ile bu kişi arasında, icradan mal kaçırma amacıyla yapılan bir hile olmadığı konusunda tatmin edilip </w:t>
            </w:r>
            <w:r w:rsidRPr="004F27F8">
              <w:rPr>
                <w:rFonts w:ascii="Times New Roman" w:eastAsia="Calibri" w:hAnsi="Times New Roman" w:cs="Times New Roman"/>
                <w:sz w:val="24"/>
                <w:szCs w:val="24"/>
              </w:rPr>
              <w:lastRenderedPageBreak/>
              <w:t>edilmediğini dikkate alır.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540"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(5)</w:t>
            </w:r>
          </w:p>
        </w:tc>
        <w:tc>
          <w:tcPr>
            <w:tcW w:w="5245" w:type="dxa"/>
            <w:gridSpan w:val="9"/>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 xml:space="preserve">Üçüncü bir kişi, bu biçimde zapt edilen bir malın bir alacağına karşılık verilen teminat olduğu gerekçesiyle bu gibi mal üzerinde hak talebinde bulunursa, Mahkeme, teminat altına alınan alacağın tamamen veya kısmen ödenmesi koşuluyla veya uygun göreceği başka koşullarla, malın tümünün veya bir kısmının satılmasına emir verebilir ve satıştan elde edilen para miktarının, adil görülecek biçimde ve koşullara bağlı olarak uygulanmasına direktif verebilir. </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540"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(6)</w:t>
            </w:r>
          </w:p>
        </w:tc>
        <w:tc>
          <w:tcPr>
            <w:tcW w:w="5245" w:type="dxa"/>
            <w:gridSpan w:val="9"/>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Yukarıdaki (5)’inci fıkrada belirtildiği gibi</w:t>
            </w:r>
            <w:r w:rsidRPr="004F27F8">
              <w:rPr>
                <w:rFonts w:ascii="Times New Roman" w:eastAsia="Calibri" w:hAnsi="Times New Roman" w:cs="Times New Roman"/>
                <w:b/>
                <w:sz w:val="24"/>
                <w:szCs w:val="24"/>
              </w:rPr>
              <w:t xml:space="preserve"> </w:t>
            </w:r>
            <w:r w:rsidRPr="004F27F8">
              <w:rPr>
                <w:rFonts w:ascii="Times New Roman" w:eastAsia="Calibri" w:hAnsi="Times New Roman" w:cs="Times New Roman"/>
                <w:sz w:val="24"/>
                <w:szCs w:val="24"/>
              </w:rPr>
              <w:t>bir teminatın, devlet veya diğer yetkili makamlar nezdinde kayıt altına alınmış bir rehin olması halinde haczi gerçekleştiren icra memuru tarafından lehine rehin verilen kişiye haczin gerçekleştirildiğine ilişkin bir bildirimde bulunulur. Böyle bir bildirim üzerine, 10 (on) iş günü içerisinde hak talebinde bulunulması durumunda, yukarıdaki (5)’inci fıkra kuralları uygulanır.”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88" w:type="dxa"/>
            <w:gridSpan w:val="2"/>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828" w:type="dxa"/>
            <w:gridSpan w:val="8"/>
            <w:tcBorders>
              <w:top w:val="nil"/>
              <w:left w:val="nil"/>
              <w:bottom w:val="nil"/>
              <w:right w:val="nil"/>
            </w:tcBorders>
          </w:tcPr>
          <w:p w:rsidR="004F27F8" w:rsidRPr="004F27F8" w:rsidRDefault="004F27F8" w:rsidP="004F27F8">
            <w:pPr>
              <w:rPr>
                <w:rFonts w:ascii="Times New Roman" w:eastAsia="Calibri" w:hAnsi="Times New Roman" w:cs="Times New Roman"/>
                <w:b/>
                <w:sz w:val="24"/>
                <w:szCs w:val="24"/>
              </w:rPr>
            </w:pPr>
          </w:p>
        </w:tc>
        <w:tc>
          <w:tcPr>
            <w:tcW w:w="858" w:type="dxa"/>
            <w:gridSpan w:val="8"/>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2"/>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4078" w:type="dxa"/>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 xml:space="preserve">Esas Yasaya Yeni 21A Maddesinin </w:t>
            </w:r>
          </w:p>
        </w:tc>
        <w:tc>
          <w:tcPr>
            <w:tcW w:w="8155" w:type="dxa"/>
            <w:gridSpan w:val="22"/>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6. Esas Yasa, 21’inci maddesinden sonra aşağıdaki yeni 21A maddesi eklenmek suretiyle değiştirilir:</w:t>
            </w:r>
          </w:p>
          <w:p w:rsidR="004F27F8" w:rsidRPr="004F27F8" w:rsidRDefault="004F27F8" w:rsidP="004F27F8">
            <w:pPr>
              <w:ind w:left="705"/>
              <w:jc w:val="both"/>
              <w:rPr>
                <w:rFonts w:ascii="Times New Roman" w:eastAsia="Calibri" w:hAnsi="Times New Roman" w:cs="Times New Roman"/>
                <w:b/>
                <w:sz w:val="24"/>
                <w:szCs w:val="24"/>
              </w:rPr>
            </w:pP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Eklenmesi</w:t>
            </w: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682" w:type="dxa"/>
            <w:gridSpan w:val="5"/>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“Muamelelerin Engellenmesi</w:t>
            </w:r>
          </w:p>
        </w:tc>
        <w:tc>
          <w:tcPr>
            <w:tcW w:w="709"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21A.</w:t>
            </w:r>
          </w:p>
        </w:tc>
        <w:tc>
          <w:tcPr>
            <w:tcW w:w="567" w:type="dxa"/>
            <w:gridSpan w:val="5"/>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(1)</w:t>
            </w:r>
          </w:p>
        </w:tc>
        <w:tc>
          <w:tcPr>
            <w:tcW w:w="4961" w:type="dxa"/>
            <w:gridSpan w:val="7"/>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Hükümlü borçlu aleyhine haciz müzekkeresinin dosyalanmasıyla birlikte, yukarıdaki 21’inci madde kapsamında olup da devlet veya diğer yetkili makamlar tarafından mal sahipliği kayıt altında tutulan taşınır mallar veya hükümlü borçlu adına kayıtlı bulunan taşınır mallarla ilgili devir veya yükümlülük altına koyma muameleleri engellenir.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682" w:type="dxa"/>
            <w:gridSpan w:val="5"/>
            <w:tcBorders>
              <w:top w:val="nil"/>
              <w:left w:val="nil"/>
              <w:bottom w:val="nil"/>
              <w:right w:val="nil"/>
            </w:tcBorders>
          </w:tcPr>
          <w:p w:rsidR="004F27F8" w:rsidRPr="004F27F8" w:rsidRDefault="004F27F8" w:rsidP="004F27F8">
            <w:pPr>
              <w:rPr>
                <w:rFonts w:ascii="Times New Roman" w:eastAsia="Calibri" w:hAnsi="Times New Roman" w:cs="Times New Roman"/>
                <w:b/>
                <w:sz w:val="24"/>
                <w:szCs w:val="24"/>
              </w:rPr>
            </w:pPr>
          </w:p>
        </w:tc>
        <w:tc>
          <w:tcPr>
            <w:tcW w:w="709"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5"/>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(2)</w:t>
            </w:r>
          </w:p>
        </w:tc>
        <w:tc>
          <w:tcPr>
            <w:tcW w:w="4961" w:type="dxa"/>
            <w:gridSpan w:val="7"/>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 xml:space="preserve">Mahkeme veya Mahkeme tarafından yetkilendirilmiş mukayyit veya icra memurunca hakkında haciz müzekkeresi dosyalandığı bilgisinin verilmesi üzerine sözkonusu mal sahipliği kayıtlarını tutan yetkili makamlar, hükümlü borçlu adına kayıtlı olan veya üçüncü kişilerin adına kayıtlı olmakla birlikte bu Yasanın 21’inci maddesinin (2)’nci fıkrası kapsamında olduğu bildirilen taşınır malların devrini ve yükümlülük altına konulmasını men eden bir şerhi ilgili sicile kaydederler. Borçlunun sahip olduğu şirket hisseleri ile ilgili bildirim, Resmi Kabz Memurluğu ve Şirketler Mukayyitliğinin yanı sıra hisselerin ait olduğu şirkete de yapılır. Bahse konu şerhin </w:t>
            </w:r>
            <w:r w:rsidRPr="004F27F8">
              <w:rPr>
                <w:rFonts w:ascii="Times New Roman" w:eastAsia="Calibri" w:hAnsi="Times New Roman" w:cs="Times New Roman"/>
                <w:sz w:val="24"/>
                <w:szCs w:val="24"/>
              </w:rPr>
              <w:lastRenderedPageBreak/>
              <w:t>konulduğuna ilişkin bir yazı, Şirketler Mukayyiti tarafından ilgili şirketin Mukayyitlik nezdindeki dosyasına da konulur.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682" w:type="dxa"/>
            <w:gridSpan w:val="5"/>
            <w:tcBorders>
              <w:top w:val="nil"/>
              <w:left w:val="nil"/>
              <w:bottom w:val="nil"/>
              <w:right w:val="nil"/>
            </w:tcBorders>
          </w:tcPr>
          <w:p w:rsidR="004F27F8" w:rsidRPr="004F27F8" w:rsidRDefault="004F27F8" w:rsidP="004F27F8">
            <w:pPr>
              <w:rPr>
                <w:rFonts w:ascii="Times New Roman" w:eastAsia="Calibri" w:hAnsi="Times New Roman" w:cs="Times New Roman"/>
                <w:b/>
                <w:sz w:val="24"/>
                <w:szCs w:val="24"/>
              </w:rPr>
            </w:pPr>
          </w:p>
        </w:tc>
        <w:tc>
          <w:tcPr>
            <w:tcW w:w="709"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5"/>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(3)</w:t>
            </w:r>
          </w:p>
        </w:tc>
        <w:tc>
          <w:tcPr>
            <w:tcW w:w="4961" w:type="dxa"/>
            <w:gridSpan w:val="7"/>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Sözkonusu şerh, haczedilen taşınır bu Yasa kurallarına uygun olarak satılıncaya veya haciz müzekkeresi herhangi bir şekilde sonuçlanıncaya kadar veya Mahkeme bu Yasanın</w:t>
            </w:r>
            <w:r w:rsidRPr="004F27F8">
              <w:rPr>
                <w:rFonts w:ascii="Times New Roman" w:eastAsia="Calibri" w:hAnsi="Times New Roman" w:cs="Times New Roman"/>
                <w:b/>
                <w:sz w:val="24"/>
                <w:szCs w:val="24"/>
              </w:rPr>
              <w:t xml:space="preserve"> </w:t>
            </w:r>
            <w:r w:rsidRPr="004F27F8">
              <w:rPr>
                <w:rFonts w:ascii="Times New Roman" w:eastAsia="Calibri" w:hAnsi="Times New Roman" w:cs="Times New Roman"/>
                <w:sz w:val="24"/>
                <w:szCs w:val="24"/>
              </w:rPr>
              <w:t>21’inci maddesinin (3)’üncü, (4)’üncü ve  (5)’inci fıkraları uyarınca aksi</w:t>
            </w:r>
            <w:r w:rsidRPr="004F27F8">
              <w:rPr>
                <w:rFonts w:ascii="Times New Roman" w:eastAsia="Calibri" w:hAnsi="Times New Roman" w:cs="Times New Roman"/>
                <w:b/>
                <w:sz w:val="24"/>
                <w:szCs w:val="24"/>
              </w:rPr>
              <w:t xml:space="preserve"> </w:t>
            </w:r>
            <w:r w:rsidRPr="004F27F8">
              <w:rPr>
                <w:rFonts w:ascii="Times New Roman" w:eastAsia="Calibri" w:hAnsi="Times New Roman" w:cs="Times New Roman"/>
                <w:sz w:val="24"/>
                <w:szCs w:val="24"/>
              </w:rPr>
              <w:t>yönde bir emir verinceye kadar geçerli olur.”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828" w:type="dxa"/>
            <w:gridSpan w:val="6"/>
            <w:tcBorders>
              <w:top w:val="nil"/>
              <w:left w:val="nil"/>
              <w:bottom w:val="nil"/>
              <w:right w:val="nil"/>
            </w:tcBorders>
          </w:tcPr>
          <w:p w:rsidR="004F27F8" w:rsidRPr="004F27F8" w:rsidRDefault="004F27F8" w:rsidP="004F27F8">
            <w:pPr>
              <w:rPr>
                <w:rFonts w:ascii="Times New Roman" w:eastAsia="Calibri" w:hAnsi="Times New Roman" w:cs="Times New Roman"/>
                <w:b/>
                <w:sz w:val="24"/>
                <w:szCs w:val="24"/>
              </w:rPr>
            </w:pPr>
          </w:p>
        </w:tc>
        <w:tc>
          <w:tcPr>
            <w:tcW w:w="858" w:type="dxa"/>
            <w:gridSpan w:val="7"/>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4666" w:type="dxa"/>
            <w:gridSpan w:val="4"/>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 xml:space="preserve">Esas Yasanın 55’inci Maddesinin </w:t>
            </w:r>
          </w:p>
        </w:tc>
        <w:tc>
          <w:tcPr>
            <w:tcW w:w="8155" w:type="dxa"/>
            <w:gridSpan w:val="22"/>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7. Esas Yasa, 55’inci maddesi kaldırılmak ve yerine aşağıdaki yeni 55’inci madde konmak suretiyle değiştirilir:</w:t>
            </w:r>
          </w:p>
          <w:p w:rsidR="004F27F8" w:rsidRPr="004F27F8" w:rsidRDefault="004F27F8" w:rsidP="004F27F8">
            <w:pPr>
              <w:jc w:val="both"/>
              <w:rPr>
                <w:rFonts w:ascii="Times New Roman" w:eastAsia="Calibri" w:hAnsi="Times New Roman" w:cs="Times New Roman"/>
                <w:b/>
                <w:sz w:val="24"/>
                <w:szCs w:val="24"/>
              </w:rPr>
            </w:pP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b/>
                <w:sz w:val="24"/>
                <w:szCs w:val="24"/>
              </w:rPr>
            </w:pPr>
            <w:r w:rsidRPr="004F27F8">
              <w:rPr>
                <w:rFonts w:ascii="Times New Roman" w:eastAsia="Calibri" w:hAnsi="Times New Roman" w:cs="Times New Roman"/>
                <w:sz w:val="24"/>
                <w:szCs w:val="24"/>
              </w:rPr>
              <w:t>Değiştirilmesi</w:t>
            </w: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257" w:type="dxa"/>
            <w:gridSpan w:val="3"/>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 xml:space="preserve">“Tescilin </w:t>
            </w:r>
          </w:p>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 xml:space="preserve">Yürürlük </w:t>
            </w:r>
          </w:p>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Süresi</w:t>
            </w:r>
          </w:p>
        </w:tc>
        <w:tc>
          <w:tcPr>
            <w:tcW w:w="6662" w:type="dxa"/>
            <w:gridSpan w:val="18"/>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55. Bir hükmün tescili, mutad olarak hükmün ilk tescil edildiği tarihten başlayarak 10 (on) yıl süreyle yürürlükte kalır.”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257" w:type="dxa"/>
            <w:gridSpan w:val="3"/>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6662" w:type="dxa"/>
            <w:gridSpan w:val="18"/>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 xml:space="preserve">Esas Yasanın 56’ncı Maddesinin </w:t>
            </w:r>
          </w:p>
        </w:tc>
        <w:tc>
          <w:tcPr>
            <w:tcW w:w="8155" w:type="dxa"/>
            <w:gridSpan w:val="22"/>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8. Esas Yasa, 56’ncı maddesi kaldırılmak ve yerine aşağıdaki yeni 56’ncı madde konmak suretiyle değiştirilir:</w:t>
            </w:r>
          </w:p>
          <w:p w:rsidR="004F27F8" w:rsidRPr="004F27F8" w:rsidRDefault="004F27F8" w:rsidP="004F27F8">
            <w:pPr>
              <w:rPr>
                <w:rFonts w:ascii="Times New Roman" w:eastAsia="Calibri" w:hAnsi="Times New Roman" w:cs="Times New Roman"/>
                <w:b/>
                <w:sz w:val="24"/>
                <w:szCs w:val="24"/>
              </w:rPr>
            </w:pP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Değiştirilmesi</w:t>
            </w: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257" w:type="dxa"/>
            <w:gridSpan w:val="3"/>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“Sürenin Uzatılması</w:t>
            </w:r>
          </w:p>
        </w:tc>
        <w:tc>
          <w:tcPr>
            <w:tcW w:w="571" w:type="dxa"/>
            <w:gridSpan w:val="3"/>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56.</w:t>
            </w:r>
          </w:p>
        </w:tc>
        <w:tc>
          <w:tcPr>
            <w:tcW w:w="563" w:type="dxa"/>
            <w:gridSpan w:val="3"/>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(1)</w:t>
            </w:r>
          </w:p>
        </w:tc>
        <w:tc>
          <w:tcPr>
            <w:tcW w:w="5528" w:type="dxa"/>
            <w:gridSpan w:val="12"/>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Tescilin yürürlük süresi, Mahkeme emri ile, her defasında iki yılı geçmemek kaydıyla ek süre veya süreler için uzatılabilir.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b/>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88" w:type="dxa"/>
            <w:gridSpan w:val="2"/>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240"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3" w:type="dxa"/>
            <w:gridSpan w:val="3"/>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(2)</w:t>
            </w:r>
          </w:p>
        </w:tc>
        <w:tc>
          <w:tcPr>
            <w:tcW w:w="5528" w:type="dxa"/>
            <w:gridSpan w:val="12"/>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Tescilin yürürlük süresinin uzatılması için emir;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b/>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88" w:type="dxa"/>
            <w:gridSpan w:val="2"/>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240"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3" w:type="dxa"/>
            <w:gridSpan w:val="3"/>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5"/>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(A)</w:t>
            </w:r>
          </w:p>
        </w:tc>
        <w:tc>
          <w:tcPr>
            <w:tcW w:w="4961" w:type="dxa"/>
            <w:gridSpan w:val="7"/>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Tescilin yürürlük süresinin uzatılmasına ilişkin istida mevcut tescil süresinin sona ermesinden önce yapılmadığı;</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b/>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88" w:type="dxa"/>
            <w:gridSpan w:val="2"/>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240"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3" w:type="dxa"/>
            <w:gridSpan w:val="3"/>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5"/>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(B)</w:t>
            </w:r>
          </w:p>
        </w:tc>
        <w:tc>
          <w:tcPr>
            <w:tcW w:w="4961" w:type="dxa"/>
            <w:gridSpan w:val="7"/>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İstidanın ihbarının ve dinlenmesi için saptanan tarihin malın bulunduğu yerin Kaza Tapu Dairesine verilmediği ve</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b/>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88" w:type="dxa"/>
            <w:gridSpan w:val="2"/>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240"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3" w:type="dxa"/>
            <w:gridSpan w:val="3"/>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5"/>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(C)</w:t>
            </w:r>
          </w:p>
        </w:tc>
        <w:tc>
          <w:tcPr>
            <w:tcW w:w="4961" w:type="dxa"/>
            <w:gridSpan w:val="7"/>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Mahkeme, hükmün muvazaa yolu ile veya diğer alacaklıları haklarından yoksun etmek amacıyla temin edilmiş bir hüküm olmadığına ve aynı zamanda tescil süresinin uzatılmasının hükümlü borçluyu veya herhangi başka bir hükümlü alacaklıyı olumsuz yönde etkilemeyeceğine dair ikna edilmediği</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b/>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88" w:type="dxa"/>
            <w:gridSpan w:val="2"/>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240"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3" w:type="dxa"/>
            <w:gridSpan w:val="3"/>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528" w:type="dxa"/>
            <w:gridSpan w:val="12"/>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takdirde verilmez.</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88" w:type="dxa"/>
            <w:gridSpan w:val="2"/>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240"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3" w:type="dxa"/>
            <w:gridSpan w:val="3"/>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(3)</w:t>
            </w:r>
          </w:p>
        </w:tc>
        <w:tc>
          <w:tcPr>
            <w:tcW w:w="5528" w:type="dxa"/>
            <w:gridSpan w:val="12"/>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 xml:space="preserve">Uzatma emrinin ısdar edildiğinin Kaza Tapu Dairesine ihbarı, hükümlü alacaklı veya onun namına başkası tarafından, masraflar hükümlü alacaklıya ait olmak kaydıyla, böyle bir emrin verildiğini bildiren yazılı bir ihbarın veya ilgili emrin Mahkemece tasdikli bir suretinin, uzatma emri verilmemiş olsa idi mevcut tescilin yürürlükten kalkmış olacağı günden geç olmamak üzere, hükmün tescil edildiği daireye </w:t>
            </w:r>
            <w:r w:rsidRPr="004F27F8">
              <w:rPr>
                <w:rFonts w:ascii="Times New Roman" w:eastAsia="Calibri" w:hAnsi="Times New Roman" w:cs="Times New Roman"/>
                <w:sz w:val="24"/>
                <w:szCs w:val="24"/>
              </w:rPr>
              <w:lastRenderedPageBreak/>
              <w:t>bırakılması suretiyle yapılır. Sadece uzatma emrinin ısdar edildiğini bildiren bir ihbarın bırakıldığı hallerde, ayrıca, yukarıda son belirtilen günden başlayarak 14 (on dört) iş günü</w:t>
            </w:r>
            <w:r w:rsidRPr="004F27F8">
              <w:rPr>
                <w:rFonts w:ascii="Times New Roman" w:eastAsia="Calibri" w:hAnsi="Times New Roman" w:cs="Times New Roman"/>
                <w:b/>
                <w:sz w:val="24"/>
                <w:szCs w:val="24"/>
              </w:rPr>
              <w:t xml:space="preserve"> </w:t>
            </w:r>
            <w:r w:rsidRPr="004F27F8">
              <w:rPr>
                <w:rFonts w:ascii="Times New Roman" w:eastAsia="Calibri" w:hAnsi="Times New Roman" w:cs="Times New Roman"/>
                <w:sz w:val="24"/>
                <w:szCs w:val="24"/>
              </w:rPr>
              <w:t>içinde uzatma emrinin Mahkemece tasdikli bir sureti Kaza Tapu Dairesine verilir. Mahkemece tasdikli sözkonusu suret veya ihbarname ile Mahkemece tasdikli suret, yukarıda belirtildiği biçimde ilgili daireye bırakılmayacak olursa, alacaklı emrin bahşettiği menfaatten yararlanma hakkını kaybeder.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88" w:type="dxa"/>
            <w:gridSpan w:val="2"/>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240"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3" w:type="dxa"/>
            <w:gridSpan w:val="3"/>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(4)</w:t>
            </w:r>
          </w:p>
        </w:tc>
        <w:tc>
          <w:tcPr>
            <w:tcW w:w="5528" w:type="dxa"/>
            <w:gridSpan w:val="12"/>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 xml:space="preserve">Yürürlük süresinin bu madde uyarınca uzatılmamış olması sebebiyle tescili sona ermiş bulunan bir hüküm; hükümlü alacaklı tarafından bu Yasanın 54’üncü maddesi kurallarına bağlı olarak tekrar tescil edilebilir. Böyle bir tescil,   yeniden yapılmış olduğu tarih esas alınarak sonuç doğurur ve geriye dönük etkili olmaz.” </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8155" w:type="dxa"/>
            <w:gridSpan w:val="22"/>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br w:type="page"/>
              <w:t xml:space="preserve">Esas Yasaya Yeni 75A Maddesinin </w:t>
            </w:r>
          </w:p>
        </w:tc>
        <w:tc>
          <w:tcPr>
            <w:tcW w:w="8155" w:type="dxa"/>
            <w:gridSpan w:val="22"/>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9. Esas Yasa, 75’inci maddesinden hemen sonra aşağıdaki yeni 75A maddesi eklenmek suretiyle değiştirilir:</w:t>
            </w:r>
          </w:p>
          <w:p w:rsidR="004F27F8" w:rsidRPr="004F27F8" w:rsidRDefault="004F27F8" w:rsidP="004F27F8">
            <w:pPr>
              <w:ind w:left="743" w:hanging="743"/>
              <w:jc w:val="both"/>
              <w:rPr>
                <w:rFonts w:ascii="Times New Roman" w:eastAsia="Calibri" w:hAnsi="Times New Roman" w:cs="Times New Roman"/>
                <w:sz w:val="24"/>
                <w:szCs w:val="24"/>
              </w:rPr>
            </w:pP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Eklenmesi</w:t>
            </w: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828" w:type="dxa"/>
            <w:gridSpan w:val="6"/>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“Banka Hesaplarındaki Paraların Haczi</w:t>
            </w:r>
          </w:p>
          <w:p w:rsidR="004F27F8" w:rsidRPr="004F27F8" w:rsidRDefault="004F27F8" w:rsidP="004F27F8">
            <w:pPr>
              <w:rPr>
                <w:rFonts w:ascii="Times New Roman" w:eastAsia="Calibri" w:hAnsi="Times New Roman" w:cs="Times New Roman"/>
                <w:sz w:val="24"/>
                <w:szCs w:val="24"/>
              </w:rPr>
            </w:pPr>
          </w:p>
        </w:tc>
        <w:tc>
          <w:tcPr>
            <w:tcW w:w="705" w:type="dxa"/>
            <w:gridSpan w:val="5"/>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75A.</w:t>
            </w: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(1)</w:t>
            </w:r>
          </w:p>
        </w:tc>
        <w:tc>
          <w:tcPr>
            <w:tcW w:w="4819" w:type="dxa"/>
            <w:gridSpan w:val="6"/>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 xml:space="preserve">Hakkında parasal bir hükümden dolayı haciz müzekkeresi dosyalanmış bulunan bir kişinin Kuzey Kıbrıs Türk Cumhuriyetinde bulunan herhangi bir bankada veya kooperatifte tek başına veya müştereken sahibi olduğu hesaplarda bulunan herhangi bir meblağ, iyi niyetle önceden elde edilmiş bulunan mülkiyet hakkına veya hapis hakkına veya üzerinde mevcut herhangi bir yükümlülüğe tabi olarak, bu Yasa kuralları uyarınca haczedilebilir. </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828" w:type="dxa"/>
            <w:gridSpan w:val="6"/>
            <w:tcBorders>
              <w:top w:val="nil"/>
              <w:left w:val="nil"/>
              <w:bottom w:val="nil"/>
              <w:right w:val="nil"/>
            </w:tcBorders>
          </w:tcPr>
          <w:p w:rsidR="004F27F8" w:rsidRPr="004F27F8" w:rsidRDefault="004F27F8" w:rsidP="004F27F8">
            <w:pPr>
              <w:ind w:firstLine="708"/>
              <w:jc w:val="both"/>
              <w:rPr>
                <w:rFonts w:ascii="Times New Roman" w:eastAsia="Calibri" w:hAnsi="Times New Roman" w:cs="Times New Roman"/>
                <w:sz w:val="24"/>
                <w:szCs w:val="24"/>
              </w:rPr>
            </w:pPr>
          </w:p>
        </w:tc>
        <w:tc>
          <w:tcPr>
            <w:tcW w:w="705" w:type="dxa"/>
            <w:gridSpan w:val="5"/>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(2)</w:t>
            </w:r>
          </w:p>
        </w:tc>
        <w:tc>
          <w:tcPr>
            <w:tcW w:w="4819" w:type="dxa"/>
            <w:gridSpan w:val="6"/>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Mahkeme veya Mahkeme tarafından yetkilendirilmiş mukayyit veya icra memurunca bir yazı ile aleyhinde haciz müzekkeresi bulunduğu bildirilen bir hükümlü borçlu ile ilgili olarak, banka veya kooperatif, adı geçen borçlunun nezdinde herhangi bir hesabı olup olmadığını, mezkur hesaplardaki mevcut para miktarlarını ve mezkur paranın herhangi bir yükümlülüğe tabi olup olmadığını derhal yazılı olarak bildirir.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828" w:type="dxa"/>
            <w:gridSpan w:val="6"/>
            <w:tcBorders>
              <w:top w:val="nil"/>
              <w:left w:val="nil"/>
              <w:bottom w:val="nil"/>
              <w:right w:val="nil"/>
            </w:tcBorders>
          </w:tcPr>
          <w:p w:rsidR="004F27F8" w:rsidRPr="004F27F8" w:rsidRDefault="004F27F8" w:rsidP="004F27F8">
            <w:pPr>
              <w:ind w:firstLine="708"/>
              <w:jc w:val="both"/>
              <w:rPr>
                <w:rFonts w:ascii="Times New Roman" w:eastAsia="Calibri" w:hAnsi="Times New Roman" w:cs="Times New Roman"/>
                <w:sz w:val="24"/>
                <w:szCs w:val="24"/>
              </w:rPr>
            </w:pPr>
          </w:p>
        </w:tc>
        <w:tc>
          <w:tcPr>
            <w:tcW w:w="705" w:type="dxa"/>
            <w:gridSpan w:val="5"/>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(3)</w:t>
            </w:r>
          </w:p>
        </w:tc>
        <w:tc>
          <w:tcPr>
            <w:tcW w:w="4819" w:type="dxa"/>
            <w:gridSpan w:val="6"/>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 xml:space="preserve">Yukarıdaki fıkra uyarınca banka veya kooperatife yazılacak olan yazı, hükümlü borçlu adındaki herhangi bir meblağın hükümlü borç ve masrafların toplamını aşmayacak kısmının haczedilmiş olduğunu ve bu gibi meblağların hükümlü borçluya veya herhangi bir üçüncü kişiye ödenmemesi, herhangi bir </w:t>
            </w:r>
            <w:r w:rsidRPr="004F27F8">
              <w:rPr>
                <w:rFonts w:ascii="Times New Roman" w:eastAsia="Calibri" w:hAnsi="Times New Roman" w:cs="Times New Roman"/>
                <w:sz w:val="24"/>
                <w:szCs w:val="24"/>
              </w:rPr>
              <w:lastRenderedPageBreak/>
              <w:t xml:space="preserve">şekilde yükümlülük altına konulmaması, teminat gösterilmemesi ve hükümlü borçlunun adından çıkarılmaması gerektiğine ilişkin bir kayıt içerir. İlgili banka veya kooperatif, bu yazıda belirtildiği şekilde hareket etmekle yükümlüdür. </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828" w:type="dxa"/>
            <w:gridSpan w:val="6"/>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705" w:type="dxa"/>
            <w:gridSpan w:val="5"/>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(4)</w:t>
            </w:r>
          </w:p>
        </w:tc>
        <w:tc>
          <w:tcPr>
            <w:tcW w:w="4819" w:type="dxa"/>
            <w:gridSpan w:val="6"/>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Hükümlü borçlunun haczedilen banka hesabının, aylık veya belirlenmiş başka bir periyotta ödenen maaşının aktarıldığı bir hesap olması halinde; hükümlü borçlunun bir aylık maaş tutarı kadar meblağ, bu madde tahtında hacizden muaf tutulur. Bu muafiyet</w:t>
            </w:r>
            <w:r w:rsidRPr="004F27F8">
              <w:rPr>
                <w:rFonts w:ascii="Times New Roman" w:eastAsia="Calibri" w:hAnsi="Times New Roman" w:cs="Times New Roman"/>
                <w:b/>
                <w:sz w:val="24"/>
                <w:szCs w:val="24"/>
              </w:rPr>
              <w:t xml:space="preserve">, </w:t>
            </w:r>
            <w:r w:rsidRPr="004F27F8">
              <w:rPr>
                <w:rFonts w:ascii="Times New Roman" w:eastAsia="Calibri" w:hAnsi="Times New Roman" w:cs="Times New Roman"/>
                <w:sz w:val="24"/>
                <w:szCs w:val="24"/>
              </w:rPr>
              <w:t>bu Yasanın 91A maddesi hükümlerinin uygulanmasını engellemez.</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828" w:type="dxa"/>
            <w:gridSpan w:val="6"/>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705" w:type="dxa"/>
            <w:gridSpan w:val="5"/>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(5)</w:t>
            </w:r>
          </w:p>
        </w:tc>
        <w:tc>
          <w:tcPr>
            <w:tcW w:w="4819" w:type="dxa"/>
            <w:gridSpan w:val="6"/>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Kendisine bu madde gereğince yazılmış bir yazı tebliğ edilen banka veya kooperatif ve/veya bunların herhangi bir yetkilisi veya çalışanı, bu maddenin herhangi bir hükmüne aykırı harekette bulunması halinde, bu Yasanın 75’inci maddesi kurallarına bağlı olarak bir Mahkeme emrine riayetsizlik etmiş gibi aynı kovuşturmaya tabi tutulur.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828" w:type="dxa"/>
            <w:gridSpan w:val="6"/>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705" w:type="dxa"/>
            <w:gridSpan w:val="5"/>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(6)</w:t>
            </w:r>
          </w:p>
        </w:tc>
        <w:tc>
          <w:tcPr>
            <w:tcW w:w="4819" w:type="dxa"/>
            <w:gridSpan w:val="6"/>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Haczedilen banka hesabı ile ilgili üçüncü bir kişi tarafından herhangi bir hak iddia edilmesi halinde, bu Yasanın 21’inci madde kuralları uygulanır.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828" w:type="dxa"/>
            <w:gridSpan w:val="6"/>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705" w:type="dxa"/>
            <w:gridSpan w:val="5"/>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(7)</w:t>
            </w:r>
          </w:p>
        </w:tc>
        <w:tc>
          <w:tcPr>
            <w:tcW w:w="4819" w:type="dxa"/>
            <w:gridSpan w:val="6"/>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 xml:space="preserve">Bu madde kuralları tahtında haczedilen meblağlar, Mahkemenin veya Mahkeme tarafından yetkilendirilmiş mukayyit veya icra memurunun bildirimi uyarınca, muhatap banka veya kooperatif tarafından Yüksek Mahkemeye veya Mahkemeye ait banka hesabına veya Maliye İşleriyile Görevli Bakanlığa aktarılır. </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828" w:type="dxa"/>
            <w:gridSpan w:val="6"/>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705" w:type="dxa"/>
            <w:gridSpan w:val="5"/>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(8)</w:t>
            </w:r>
          </w:p>
        </w:tc>
        <w:tc>
          <w:tcPr>
            <w:tcW w:w="4819" w:type="dxa"/>
            <w:gridSpan w:val="6"/>
            <w:tcBorders>
              <w:top w:val="nil"/>
              <w:left w:val="nil"/>
              <w:bottom w:val="nil"/>
              <w:right w:val="nil"/>
            </w:tcBorders>
          </w:tcPr>
          <w:p w:rsidR="004F27F8" w:rsidRPr="004F27F8" w:rsidRDefault="004F27F8" w:rsidP="004F27F8">
            <w:pPr>
              <w:ind w:left="39" w:hanging="39"/>
              <w:jc w:val="both"/>
              <w:rPr>
                <w:rFonts w:ascii="Times New Roman" w:eastAsia="Calibri" w:hAnsi="Times New Roman" w:cs="Times New Roman"/>
                <w:b/>
                <w:sz w:val="24"/>
                <w:szCs w:val="24"/>
              </w:rPr>
            </w:pPr>
            <w:r w:rsidRPr="004F27F8">
              <w:rPr>
                <w:rFonts w:ascii="Times New Roman" w:eastAsia="Calibri" w:hAnsi="Times New Roman" w:cs="Times New Roman"/>
                <w:sz w:val="24"/>
                <w:szCs w:val="24"/>
              </w:rPr>
              <w:t>Yüksek Mahkeme, bu madde uyarınca kullanılacak formları saptamak, yazışma ve tebligat usul ve yöntemlerini belirlemek, Mahkemenin bu maddede öngörülen konulara ilişkin yargılama usul ve yöntemini düzenlemek amacıyla Resmi Gazetede yayımlanarakyürürlüğe girecek olan Mahkeme Tüzükleri yapabilir.”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828" w:type="dxa"/>
            <w:gridSpan w:val="6"/>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705" w:type="dxa"/>
            <w:gridSpan w:val="5"/>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gridSpan w:val="4"/>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4819" w:type="dxa"/>
            <w:gridSpan w:val="6"/>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p>
        </w:tc>
      </w:tr>
    </w:tbl>
    <w:p w:rsidR="004F27F8" w:rsidRDefault="004F27F8">
      <w:r>
        <w:br w:type="page"/>
      </w:r>
    </w:p>
    <w:tbl>
      <w:tblPr>
        <w:tblStyle w:val="TableGrid"/>
        <w:tblW w:w="9889" w:type="dxa"/>
        <w:tblLayout w:type="fixed"/>
        <w:tblLook w:val="04A0" w:firstRow="1" w:lastRow="0" w:firstColumn="1" w:lastColumn="0" w:noHBand="0" w:noVBand="1"/>
      </w:tblPr>
      <w:tblGrid>
        <w:gridCol w:w="1734"/>
        <w:gridCol w:w="236"/>
        <w:gridCol w:w="1540"/>
        <w:gridCol w:w="288"/>
        <w:gridCol w:w="421"/>
        <w:gridCol w:w="567"/>
        <w:gridCol w:w="437"/>
        <w:gridCol w:w="4666"/>
      </w:tblGrid>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lastRenderedPageBreak/>
              <w:t xml:space="preserve">Esas Yasaya Yeni 91A Maddesinin </w:t>
            </w:r>
          </w:p>
        </w:tc>
        <w:tc>
          <w:tcPr>
            <w:tcW w:w="8155" w:type="dxa"/>
            <w:gridSpan w:val="7"/>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10. Esas Yasa, 91’inci maddesinden sonra aşağıdaki yeni 91A maddesi eklenmek suretiyle değiştirilir: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Eklenmesi</w:t>
            </w: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540"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“Maaş veya Ödeneklerin Yükümlü Kılınması</w:t>
            </w:r>
          </w:p>
        </w:tc>
        <w:tc>
          <w:tcPr>
            <w:tcW w:w="709" w:type="dxa"/>
            <w:gridSpan w:val="2"/>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91A.</w:t>
            </w:r>
          </w:p>
        </w:tc>
        <w:tc>
          <w:tcPr>
            <w:tcW w:w="567"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(1)</w:t>
            </w:r>
          </w:p>
        </w:tc>
        <w:tc>
          <w:tcPr>
            <w:tcW w:w="5103" w:type="dxa"/>
            <w:gridSpan w:val="2"/>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Hükümlü borçlunun herhangi bir şekilde kamudan veya özel bir tüzel kişi veya gerçek kişiden aylık olarak veya belirlenmiş başka periyotlarda almakta olduğu maaş ve diğer ödenekler, hükümlü alacaklının Mahkemeye yapacağı bir istida üzerine ve bu madde kurallarına bağlı olarak hükümlü borcun tahsil edilmesi amacıyla yükümlü kılınabilir.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540"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709" w:type="dxa"/>
            <w:gridSpan w:val="2"/>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(2)</w:t>
            </w:r>
          </w:p>
        </w:tc>
        <w:tc>
          <w:tcPr>
            <w:tcW w:w="5103" w:type="dxa"/>
            <w:gridSpan w:val="2"/>
            <w:tcBorders>
              <w:top w:val="nil"/>
              <w:left w:val="nil"/>
              <w:bottom w:val="nil"/>
              <w:right w:val="nil"/>
            </w:tcBorders>
          </w:tcPr>
          <w:p w:rsidR="004F27F8" w:rsidRPr="004F27F8" w:rsidRDefault="004F27F8" w:rsidP="004F27F8">
            <w:pPr>
              <w:ind w:left="39" w:hanging="39"/>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 xml:space="preserve"> Bu madde uyarınca dosyalanan bir istidayı gören Mahkeme, borçlunun maaş ve ödeneklerini tespit etmek için uygun gördüğü kişileri tanık olarak dinleyebilir. </w:t>
            </w:r>
            <w:r w:rsidRPr="004F27F8">
              <w:rPr>
                <w:rFonts w:ascii="Times New Roman(W1)" w:eastAsia="Calibri" w:hAnsi="Times New Roman(W1)" w:cs="Times New Roman"/>
                <w:sz w:val="24"/>
                <w:szCs w:val="24"/>
              </w:rPr>
              <w:t>Ayr</w:t>
            </w:r>
            <w:r w:rsidRPr="004F27F8">
              <w:rPr>
                <w:rFonts w:ascii="Times New Roman" w:eastAsia="Calibri" w:hAnsi="Times New Roman" w:cs="Times New Roman"/>
                <w:sz w:val="24"/>
                <w:szCs w:val="24"/>
              </w:rPr>
              <w:t>ı</w:t>
            </w:r>
            <w:r w:rsidRPr="004F27F8">
              <w:rPr>
                <w:rFonts w:ascii="Times New Roman(W1)" w:eastAsia="Calibri" w:hAnsi="Times New Roman(W1)" w:cs="Times New Roman"/>
                <w:sz w:val="24"/>
                <w:szCs w:val="24"/>
              </w:rPr>
              <w:t>ca, bu madde uyar</w:t>
            </w:r>
            <w:r w:rsidRPr="004F27F8">
              <w:rPr>
                <w:rFonts w:ascii="Times New Roman" w:eastAsia="Calibri" w:hAnsi="Times New Roman" w:cs="Times New Roman"/>
                <w:sz w:val="24"/>
                <w:szCs w:val="24"/>
              </w:rPr>
              <w:t>ı</w:t>
            </w:r>
            <w:r w:rsidRPr="004F27F8">
              <w:rPr>
                <w:rFonts w:ascii="Times New Roman(W1)" w:eastAsia="Calibri" w:hAnsi="Times New Roman(W1)" w:cs="Times New Roman"/>
                <w:sz w:val="24"/>
                <w:szCs w:val="24"/>
              </w:rPr>
              <w:t>nca aleyhine bir istida dosyalanmas</w:t>
            </w:r>
            <w:r w:rsidRPr="004F27F8">
              <w:rPr>
                <w:rFonts w:ascii="Times New Roman" w:eastAsia="Calibri" w:hAnsi="Times New Roman" w:cs="Times New Roman"/>
                <w:sz w:val="24"/>
                <w:szCs w:val="24"/>
              </w:rPr>
              <w:t>ı</w:t>
            </w:r>
            <w:r w:rsidRPr="004F27F8">
              <w:rPr>
                <w:rFonts w:ascii="Times New Roman(W1)" w:eastAsia="Calibri" w:hAnsi="Times New Roman(W1)" w:cs="Times New Roman"/>
                <w:sz w:val="24"/>
                <w:szCs w:val="24"/>
              </w:rPr>
              <w:t xml:space="preserve"> tasarlanan ki</w:t>
            </w:r>
            <w:r w:rsidRPr="004F27F8">
              <w:rPr>
                <w:rFonts w:ascii="Times New Roman" w:eastAsia="Calibri" w:hAnsi="Times New Roman" w:cs="Times New Roman"/>
                <w:sz w:val="24"/>
                <w:szCs w:val="24"/>
              </w:rPr>
              <w:t>ş</w:t>
            </w:r>
            <w:r w:rsidRPr="004F27F8">
              <w:rPr>
                <w:rFonts w:ascii="Times New Roman(W1)" w:eastAsia="Calibri" w:hAnsi="Times New Roman(W1)" w:cs="Times New Roman"/>
                <w:sz w:val="24"/>
                <w:szCs w:val="24"/>
              </w:rPr>
              <w:t>i hakk</w:t>
            </w:r>
            <w:r w:rsidRPr="004F27F8">
              <w:rPr>
                <w:rFonts w:ascii="Times New Roman" w:eastAsia="Calibri" w:hAnsi="Times New Roman" w:cs="Times New Roman"/>
                <w:sz w:val="24"/>
                <w:szCs w:val="24"/>
              </w:rPr>
              <w:t>ı</w:t>
            </w:r>
            <w:r w:rsidRPr="004F27F8">
              <w:rPr>
                <w:rFonts w:ascii="Times New Roman(W1)" w:eastAsia="Calibri" w:hAnsi="Times New Roman(W1)" w:cs="Times New Roman"/>
                <w:sz w:val="24"/>
                <w:szCs w:val="24"/>
              </w:rPr>
              <w:t>nda, h</w:t>
            </w:r>
            <w:r w:rsidRPr="004F27F8">
              <w:rPr>
                <w:rFonts w:ascii="Times New Roman(W1)" w:eastAsia="Calibri" w:hAnsi="Times New Roman(W1)" w:cs="Times New Roman(W1)"/>
                <w:sz w:val="24"/>
                <w:szCs w:val="24"/>
              </w:rPr>
              <w:t>ü</w:t>
            </w:r>
            <w:r w:rsidRPr="004F27F8">
              <w:rPr>
                <w:rFonts w:ascii="Times New Roman(W1)" w:eastAsia="Calibri" w:hAnsi="Times New Roman(W1)" w:cs="Times New Roman"/>
                <w:sz w:val="24"/>
                <w:szCs w:val="24"/>
              </w:rPr>
              <w:t>k</w:t>
            </w:r>
            <w:r w:rsidRPr="004F27F8">
              <w:rPr>
                <w:rFonts w:ascii="Times New Roman(W1)" w:eastAsia="Calibri" w:hAnsi="Times New Roman(W1)" w:cs="Times New Roman(W1)"/>
                <w:sz w:val="24"/>
                <w:szCs w:val="24"/>
              </w:rPr>
              <w:t>ü</w:t>
            </w:r>
            <w:r w:rsidRPr="004F27F8">
              <w:rPr>
                <w:rFonts w:ascii="Times New Roman(W1)" w:eastAsia="Calibri" w:hAnsi="Times New Roman(W1)" w:cs="Times New Roman"/>
                <w:sz w:val="24"/>
                <w:szCs w:val="24"/>
              </w:rPr>
              <w:t>ml</w:t>
            </w:r>
            <w:r w:rsidRPr="004F27F8">
              <w:rPr>
                <w:rFonts w:ascii="Times New Roman(W1)" w:eastAsia="Calibri" w:hAnsi="Times New Roman(W1)" w:cs="Times New Roman(W1)"/>
                <w:sz w:val="24"/>
                <w:szCs w:val="24"/>
              </w:rPr>
              <w:t>ü</w:t>
            </w:r>
            <w:r w:rsidRPr="004F27F8">
              <w:rPr>
                <w:rFonts w:ascii="Times New Roman(W1)" w:eastAsia="Calibri" w:hAnsi="Times New Roman(W1)" w:cs="Times New Roman"/>
                <w:sz w:val="24"/>
                <w:szCs w:val="24"/>
              </w:rPr>
              <w:t xml:space="preserve"> alacakl</w:t>
            </w:r>
            <w:r w:rsidRPr="004F27F8">
              <w:rPr>
                <w:rFonts w:ascii="Times New Roman" w:eastAsia="Calibri" w:hAnsi="Times New Roman" w:cs="Times New Roman"/>
                <w:sz w:val="24"/>
                <w:szCs w:val="24"/>
              </w:rPr>
              <w:t>ı</w:t>
            </w:r>
            <w:r w:rsidRPr="004F27F8">
              <w:rPr>
                <w:rFonts w:ascii="Times New Roman(W1)" w:eastAsia="Calibri" w:hAnsi="Times New Roman(W1)" w:cs="Times New Roman"/>
                <w:sz w:val="24"/>
                <w:szCs w:val="24"/>
              </w:rPr>
              <w:t xml:space="preserve"> veya avukat</w:t>
            </w:r>
            <w:r w:rsidRPr="004F27F8">
              <w:rPr>
                <w:rFonts w:ascii="Times New Roman" w:eastAsia="Calibri" w:hAnsi="Times New Roman" w:cs="Times New Roman"/>
                <w:sz w:val="24"/>
                <w:szCs w:val="24"/>
              </w:rPr>
              <w:t>ı</w:t>
            </w:r>
            <w:r w:rsidRPr="004F27F8">
              <w:rPr>
                <w:rFonts w:ascii="Times New Roman(W1)" w:eastAsia="Calibri" w:hAnsi="Times New Roman(W1)" w:cs="Times New Roman"/>
                <w:sz w:val="24"/>
                <w:szCs w:val="24"/>
              </w:rPr>
              <w:t xml:space="preserve"> taraf</w:t>
            </w:r>
            <w:r w:rsidRPr="004F27F8">
              <w:rPr>
                <w:rFonts w:ascii="Times New Roman" w:eastAsia="Calibri" w:hAnsi="Times New Roman" w:cs="Times New Roman"/>
                <w:sz w:val="24"/>
                <w:szCs w:val="24"/>
              </w:rPr>
              <w:t>ı</w:t>
            </w:r>
            <w:r w:rsidRPr="004F27F8">
              <w:rPr>
                <w:rFonts w:ascii="Times New Roman(W1)" w:eastAsia="Calibri" w:hAnsi="Times New Roman(W1)" w:cs="Times New Roman"/>
                <w:sz w:val="24"/>
                <w:szCs w:val="24"/>
              </w:rPr>
              <w:t>ndan yaz</w:t>
            </w:r>
            <w:r w:rsidRPr="004F27F8">
              <w:rPr>
                <w:rFonts w:ascii="Times New Roman" w:eastAsia="Calibri" w:hAnsi="Times New Roman" w:cs="Times New Roman"/>
                <w:sz w:val="24"/>
                <w:szCs w:val="24"/>
              </w:rPr>
              <w:t>ı</w:t>
            </w:r>
            <w:r w:rsidRPr="004F27F8">
              <w:rPr>
                <w:rFonts w:ascii="Times New Roman(W1)" w:eastAsia="Calibri" w:hAnsi="Times New Roman(W1)" w:cs="Times New Roman"/>
                <w:sz w:val="24"/>
                <w:szCs w:val="24"/>
              </w:rPr>
              <w:t>lm</w:t>
            </w:r>
            <w:r w:rsidRPr="004F27F8">
              <w:rPr>
                <w:rFonts w:ascii="Times New Roman" w:eastAsia="Calibri" w:hAnsi="Times New Roman" w:cs="Times New Roman"/>
                <w:sz w:val="24"/>
                <w:szCs w:val="24"/>
              </w:rPr>
              <w:t>ış</w:t>
            </w:r>
            <w:r w:rsidRPr="004F27F8">
              <w:rPr>
                <w:rFonts w:ascii="Times New Roman(W1)" w:eastAsia="Calibri" w:hAnsi="Times New Roman(W1)" w:cs="Times New Roman"/>
                <w:sz w:val="24"/>
                <w:szCs w:val="24"/>
              </w:rPr>
              <w:t xml:space="preserve"> bir yaz</w:t>
            </w:r>
            <w:r w:rsidRPr="004F27F8">
              <w:rPr>
                <w:rFonts w:ascii="Times New Roman" w:eastAsia="Calibri" w:hAnsi="Times New Roman" w:cs="Times New Roman"/>
                <w:sz w:val="24"/>
                <w:szCs w:val="24"/>
              </w:rPr>
              <w:t>ı</w:t>
            </w:r>
            <w:r w:rsidRPr="004F27F8">
              <w:rPr>
                <w:rFonts w:ascii="Times New Roman(W1)" w:eastAsia="Calibri" w:hAnsi="Times New Roman(W1)" w:cs="Times New Roman"/>
                <w:sz w:val="24"/>
                <w:szCs w:val="24"/>
              </w:rPr>
              <w:t xml:space="preserve"> </w:t>
            </w:r>
            <w:r w:rsidRPr="004F27F8">
              <w:rPr>
                <w:rFonts w:ascii="Times New Roman(W1)" w:eastAsia="Calibri" w:hAnsi="Times New Roman(W1)" w:cs="Times New Roman(W1)"/>
                <w:sz w:val="24"/>
                <w:szCs w:val="24"/>
              </w:rPr>
              <w:t>ü</w:t>
            </w:r>
            <w:r w:rsidRPr="004F27F8">
              <w:rPr>
                <w:rFonts w:ascii="Times New Roman(W1)" w:eastAsia="Calibri" w:hAnsi="Times New Roman(W1)" w:cs="Times New Roman"/>
                <w:sz w:val="24"/>
                <w:szCs w:val="24"/>
              </w:rPr>
              <w:t>zerine, h</w:t>
            </w:r>
            <w:r w:rsidRPr="004F27F8">
              <w:rPr>
                <w:rFonts w:ascii="Times New Roman(W1)" w:eastAsia="Calibri" w:hAnsi="Times New Roman(W1)" w:cs="Times New Roman(W1)"/>
                <w:sz w:val="24"/>
                <w:szCs w:val="24"/>
              </w:rPr>
              <w:t>ü</w:t>
            </w:r>
            <w:r w:rsidRPr="004F27F8">
              <w:rPr>
                <w:rFonts w:ascii="Times New Roman(W1)" w:eastAsia="Calibri" w:hAnsi="Times New Roman(W1)" w:cs="Times New Roman"/>
                <w:sz w:val="24"/>
                <w:szCs w:val="24"/>
              </w:rPr>
              <w:t>k</w:t>
            </w:r>
            <w:r w:rsidRPr="004F27F8">
              <w:rPr>
                <w:rFonts w:ascii="Times New Roman(W1)" w:eastAsia="Calibri" w:hAnsi="Times New Roman(W1)" w:cs="Times New Roman(W1)"/>
                <w:sz w:val="24"/>
                <w:szCs w:val="24"/>
              </w:rPr>
              <w:t>ü</w:t>
            </w:r>
            <w:r w:rsidRPr="004F27F8">
              <w:rPr>
                <w:rFonts w:ascii="Times New Roman(W1)" w:eastAsia="Calibri" w:hAnsi="Times New Roman(W1)" w:cs="Times New Roman"/>
                <w:sz w:val="24"/>
                <w:szCs w:val="24"/>
              </w:rPr>
              <w:t>ml</w:t>
            </w:r>
            <w:r w:rsidRPr="004F27F8">
              <w:rPr>
                <w:rFonts w:ascii="Times New Roman(W1)" w:eastAsia="Calibri" w:hAnsi="Times New Roman(W1)" w:cs="Times New Roman(W1)"/>
                <w:sz w:val="24"/>
                <w:szCs w:val="24"/>
              </w:rPr>
              <w:t>ü</w:t>
            </w:r>
            <w:r w:rsidRPr="004F27F8">
              <w:rPr>
                <w:rFonts w:ascii="Times New Roman(W1)" w:eastAsia="Calibri" w:hAnsi="Times New Roman(W1)" w:cs="Times New Roman"/>
                <w:sz w:val="24"/>
                <w:szCs w:val="24"/>
              </w:rPr>
              <w:t xml:space="preserve"> bor</w:t>
            </w:r>
            <w:r w:rsidRPr="004F27F8">
              <w:rPr>
                <w:rFonts w:ascii="Times New Roman(W1)" w:eastAsia="Calibri" w:hAnsi="Times New Roman(W1)" w:cs="Times New Roman(W1)"/>
                <w:sz w:val="24"/>
                <w:szCs w:val="24"/>
              </w:rPr>
              <w:t>ç</w:t>
            </w:r>
            <w:r w:rsidRPr="004F27F8">
              <w:rPr>
                <w:rFonts w:ascii="Times New Roman(W1)" w:eastAsia="Calibri" w:hAnsi="Times New Roman(W1)" w:cs="Times New Roman"/>
                <w:sz w:val="24"/>
                <w:szCs w:val="24"/>
              </w:rPr>
              <w:t>luya maa</w:t>
            </w:r>
            <w:r w:rsidRPr="004F27F8">
              <w:rPr>
                <w:rFonts w:ascii="Times New Roman" w:eastAsia="Calibri" w:hAnsi="Times New Roman" w:cs="Times New Roman"/>
                <w:sz w:val="24"/>
                <w:szCs w:val="24"/>
              </w:rPr>
              <w:t>ş</w:t>
            </w:r>
            <w:r w:rsidRPr="004F27F8">
              <w:rPr>
                <w:rFonts w:ascii="Times New Roman(W1)" w:eastAsia="Calibri" w:hAnsi="Times New Roman(W1)" w:cs="Times New Roman"/>
                <w:sz w:val="24"/>
                <w:szCs w:val="24"/>
              </w:rPr>
              <w:t xml:space="preserve"> veya herhangi bir </w:t>
            </w:r>
            <w:r w:rsidRPr="004F27F8">
              <w:rPr>
                <w:rFonts w:ascii="Times New Roman(W1)" w:eastAsia="Calibri" w:hAnsi="Times New Roman(W1)" w:cs="Times New Roman(W1)"/>
                <w:sz w:val="24"/>
                <w:szCs w:val="24"/>
              </w:rPr>
              <w:t>ö</w:t>
            </w:r>
            <w:r w:rsidRPr="004F27F8">
              <w:rPr>
                <w:rFonts w:ascii="Times New Roman(W1)" w:eastAsia="Calibri" w:hAnsi="Times New Roman(W1)" w:cs="Times New Roman"/>
                <w:sz w:val="24"/>
                <w:szCs w:val="24"/>
              </w:rPr>
              <w:t xml:space="preserve">denek </w:t>
            </w:r>
            <w:r w:rsidRPr="004F27F8">
              <w:rPr>
                <w:rFonts w:ascii="Times New Roman(W1)" w:eastAsia="Calibri" w:hAnsi="Times New Roman(W1)" w:cs="Times New Roman(W1)"/>
                <w:sz w:val="24"/>
                <w:szCs w:val="24"/>
              </w:rPr>
              <w:t>ö</w:t>
            </w:r>
            <w:r w:rsidRPr="004F27F8">
              <w:rPr>
                <w:rFonts w:ascii="Times New Roman(W1)" w:eastAsia="Calibri" w:hAnsi="Times New Roman(W1)" w:cs="Times New Roman"/>
                <w:sz w:val="24"/>
                <w:szCs w:val="24"/>
              </w:rPr>
              <w:t>demekle y</w:t>
            </w:r>
            <w:r w:rsidRPr="004F27F8">
              <w:rPr>
                <w:rFonts w:ascii="Times New Roman(W1)" w:eastAsia="Calibri" w:hAnsi="Times New Roman(W1)" w:cs="Times New Roman(W1)"/>
                <w:sz w:val="24"/>
                <w:szCs w:val="24"/>
              </w:rPr>
              <w:t>ü</w:t>
            </w:r>
            <w:r w:rsidRPr="004F27F8">
              <w:rPr>
                <w:rFonts w:ascii="Times New Roman(W1)" w:eastAsia="Calibri" w:hAnsi="Times New Roman(W1)" w:cs="Times New Roman"/>
                <w:sz w:val="24"/>
                <w:szCs w:val="24"/>
              </w:rPr>
              <w:t>k</w:t>
            </w:r>
            <w:r w:rsidRPr="004F27F8">
              <w:rPr>
                <w:rFonts w:ascii="Times New Roman(W1)" w:eastAsia="Calibri" w:hAnsi="Times New Roman(W1)" w:cs="Times New Roman(W1)"/>
                <w:sz w:val="24"/>
                <w:szCs w:val="24"/>
              </w:rPr>
              <w:t>ü</w:t>
            </w:r>
            <w:r w:rsidRPr="004F27F8">
              <w:rPr>
                <w:rFonts w:ascii="Times New Roman(W1)" w:eastAsia="Calibri" w:hAnsi="Times New Roman(W1)" w:cs="Times New Roman"/>
                <w:sz w:val="24"/>
                <w:szCs w:val="24"/>
              </w:rPr>
              <w:t>ml</w:t>
            </w:r>
            <w:r w:rsidRPr="004F27F8">
              <w:rPr>
                <w:rFonts w:ascii="Times New Roman(W1)" w:eastAsia="Calibri" w:hAnsi="Times New Roman(W1)" w:cs="Times New Roman(W1)"/>
                <w:sz w:val="24"/>
                <w:szCs w:val="24"/>
              </w:rPr>
              <w:t>ü</w:t>
            </w:r>
            <w:r w:rsidRPr="004F27F8">
              <w:rPr>
                <w:rFonts w:ascii="Times New Roman(W1)" w:eastAsia="Calibri" w:hAnsi="Times New Roman(W1)" w:cs="Times New Roman"/>
                <w:sz w:val="24"/>
                <w:szCs w:val="24"/>
              </w:rPr>
              <w:t xml:space="preserve"> olan ger</w:t>
            </w:r>
            <w:r w:rsidRPr="004F27F8">
              <w:rPr>
                <w:rFonts w:ascii="Times New Roman(W1)" w:eastAsia="Calibri" w:hAnsi="Times New Roman(W1)" w:cs="Times New Roman(W1)"/>
                <w:sz w:val="24"/>
                <w:szCs w:val="24"/>
              </w:rPr>
              <w:t>ç</w:t>
            </w:r>
            <w:r w:rsidRPr="004F27F8">
              <w:rPr>
                <w:rFonts w:ascii="Times New Roman(W1)" w:eastAsia="Calibri" w:hAnsi="Times New Roman(W1)" w:cs="Times New Roman"/>
                <w:sz w:val="24"/>
                <w:szCs w:val="24"/>
              </w:rPr>
              <w:t>ek veya t</w:t>
            </w:r>
            <w:r w:rsidRPr="004F27F8">
              <w:rPr>
                <w:rFonts w:ascii="Times New Roman(W1)" w:eastAsia="Calibri" w:hAnsi="Times New Roman(W1)" w:cs="Times New Roman(W1)"/>
                <w:sz w:val="24"/>
                <w:szCs w:val="24"/>
              </w:rPr>
              <w:t>ü</w:t>
            </w:r>
            <w:r w:rsidRPr="004F27F8">
              <w:rPr>
                <w:rFonts w:ascii="Times New Roman(W1)" w:eastAsia="Calibri" w:hAnsi="Times New Roman(W1)" w:cs="Times New Roman"/>
                <w:sz w:val="24"/>
                <w:szCs w:val="24"/>
              </w:rPr>
              <w:t>zel ki</w:t>
            </w:r>
            <w:r w:rsidRPr="004F27F8">
              <w:rPr>
                <w:rFonts w:ascii="Times New Roman" w:eastAsia="Calibri" w:hAnsi="Times New Roman" w:cs="Times New Roman"/>
                <w:sz w:val="24"/>
                <w:szCs w:val="24"/>
              </w:rPr>
              <w:t>ş</w:t>
            </w:r>
            <w:r w:rsidRPr="004F27F8">
              <w:rPr>
                <w:rFonts w:ascii="Times New Roman(W1)" w:eastAsia="Calibri" w:hAnsi="Times New Roman(W1)" w:cs="Times New Roman"/>
                <w:sz w:val="24"/>
                <w:szCs w:val="24"/>
              </w:rPr>
              <w:t>iler, h</w:t>
            </w:r>
            <w:r w:rsidRPr="004F27F8">
              <w:rPr>
                <w:rFonts w:ascii="Times New Roman(W1)" w:eastAsia="Calibri" w:hAnsi="Times New Roman(W1)" w:cs="Times New Roman(W1)"/>
                <w:sz w:val="24"/>
                <w:szCs w:val="24"/>
              </w:rPr>
              <w:t>ü</w:t>
            </w:r>
            <w:r w:rsidRPr="004F27F8">
              <w:rPr>
                <w:rFonts w:ascii="Times New Roman(W1)" w:eastAsia="Calibri" w:hAnsi="Times New Roman(W1)" w:cs="Times New Roman"/>
                <w:sz w:val="24"/>
                <w:szCs w:val="24"/>
              </w:rPr>
              <w:t>k</w:t>
            </w:r>
            <w:r w:rsidRPr="004F27F8">
              <w:rPr>
                <w:rFonts w:ascii="Times New Roman(W1)" w:eastAsia="Calibri" w:hAnsi="Times New Roman(W1)" w:cs="Times New Roman(W1)"/>
                <w:sz w:val="24"/>
                <w:szCs w:val="24"/>
              </w:rPr>
              <w:t>ü</w:t>
            </w:r>
            <w:r w:rsidRPr="004F27F8">
              <w:rPr>
                <w:rFonts w:ascii="Times New Roman(W1)" w:eastAsia="Calibri" w:hAnsi="Times New Roman(W1)" w:cs="Times New Roman"/>
                <w:sz w:val="24"/>
                <w:szCs w:val="24"/>
              </w:rPr>
              <w:t>ml</w:t>
            </w:r>
            <w:r w:rsidRPr="004F27F8">
              <w:rPr>
                <w:rFonts w:ascii="Times New Roman(W1)" w:eastAsia="Calibri" w:hAnsi="Times New Roman(W1)" w:cs="Times New Roman(W1)"/>
                <w:sz w:val="24"/>
                <w:szCs w:val="24"/>
              </w:rPr>
              <w:t>ü</w:t>
            </w:r>
            <w:r w:rsidRPr="004F27F8">
              <w:rPr>
                <w:rFonts w:ascii="Times New Roman(W1)" w:eastAsia="Calibri" w:hAnsi="Times New Roman(W1)" w:cs="Times New Roman"/>
                <w:sz w:val="24"/>
                <w:szCs w:val="24"/>
              </w:rPr>
              <w:t xml:space="preserve"> borçlunun almakta oldu</w:t>
            </w:r>
            <w:r w:rsidRPr="004F27F8">
              <w:rPr>
                <w:rFonts w:ascii="Times New Roman" w:eastAsia="Calibri" w:hAnsi="Times New Roman" w:cs="Times New Roman"/>
                <w:sz w:val="24"/>
                <w:szCs w:val="24"/>
              </w:rPr>
              <w:t>ğ</w:t>
            </w:r>
            <w:r w:rsidRPr="004F27F8">
              <w:rPr>
                <w:rFonts w:ascii="Times New Roman(W1)" w:eastAsia="Calibri" w:hAnsi="Times New Roman(W1)" w:cs="Times New Roman"/>
                <w:sz w:val="24"/>
                <w:szCs w:val="24"/>
              </w:rPr>
              <w:t>u maa</w:t>
            </w:r>
            <w:r w:rsidRPr="004F27F8">
              <w:rPr>
                <w:rFonts w:ascii="Times New Roman" w:eastAsia="Calibri" w:hAnsi="Times New Roman" w:cs="Times New Roman"/>
                <w:sz w:val="24"/>
                <w:szCs w:val="24"/>
              </w:rPr>
              <w:t>ş</w:t>
            </w:r>
            <w:r w:rsidRPr="004F27F8">
              <w:rPr>
                <w:rFonts w:ascii="Times New Roman(W1)" w:eastAsia="Calibri" w:hAnsi="Times New Roman(W1)" w:cs="Times New Roman"/>
                <w:sz w:val="24"/>
                <w:szCs w:val="24"/>
              </w:rPr>
              <w:t xml:space="preserve"> ve </w:t>
            </w:r>
            <w:r w:rsidRPr="004F27F8">
              <w:rPr>
                <w:rFonts w:ascii="Times New Roman(W1)" w:eastAsia="Calibri" w:hAnsi="Times New Roman(W1)" w:cs="Times New Roman(W1)"/>
                <w:sz w:val="24"/>
                <w:szCs w:val="24"/>
              </w:rPr>
              <w:t>ö</w:t>
            </w:r>
            <w:r w:rsidRPr="004F27F8">
              <w:rPr>
                <w:rFonts w:ascii="Times New Roman(W1)" w:eastAsia="Calibri" w:hAnsi="Times New Roman(W1)" w:cs="Times New Roman"/>
                <w:sz w:val="24"/>
                <w:szCs w:val="24"/>
              </w:rPr>
              <w:t>denek miktar</w:t>
            </w:r>
            <w:r w:rsidRPr="004F27F8">
              <w:rPr>
                <w:rFonts w:ascii="Times New Roman" w:eastAsia="Calibri" w:hAnsi="Times New Roman" w:cs="Times New Roman"/>
                <w:sz w:val="24"/>
                <w:szCs w:val="24"/>
              </w:rPr>
              <w:t>ı</w:t>
            </w:r>
            <w:r w:rsidRPr="004F27F8">
              <w:rPr>
                <w:rFonts w:ascii="Times New Roman(W1)" w:eastAsia="Calibri" w:hAnsi="Times New Roman(W1)" w:cs="Times New Roman"/>
                <w:sz w:val="24"/>
                <w:szCs w:val="24"/>
              </w:rPr>
              <w:t>n</w:t>
            </w:r>
            <w:r w:rsidRPr="004F27F8">
              <w:rPr>
                <w:rFonts w:ascii="Times New Roman" w:eastAsia="Calibri" w:hAnsi="Times New Roman" w:cs="Times New Roman"/>
                <w:sz w:val="24"/>
                <w:szCs w:val="24"/>
              </w:rPr>
              <w:t>ı</w:t>
            </w:r>
            <w:r w:rsidRPr="004F27F8">
              <w:rPr>
                <w:rFonts w:ascii="Times New Roman(W1)" w:eastAsia="Calibri" w:hAnsi="Times New Roman(W1)" w:cs="Times New Roman"/>
                <w:sz w:val="24"/>
                <w:szCs w:val="24"/>
              </w:rPr>
              <w:t xml:space="preserve"> yaz</w:t>
            </w:r>
            <w:r w:rsidRPr="004F27F8">
              <w:rPr>
                <w:rFonts w:ascii="Times New Roman" w:eastAsia="Calibri" w:hAnsi="Times New Roman" w:cs="Times New Roman"/>
                <w:sz w:val="24"/>
                <w:szCs w:val="24"/>
              </w:rPr>
              <w:t>ı</w:t>
            </w:r>
            <w:r w:rsidRPr="004F27F8">
              <w:rPr>
                <w:rFonts w:ascii="Times New Roman(W1)" w:eastAsia="Calibri" w:hAnsi="Times New Roman(W1)" w:cs="Times New Roman"/>
                <w:sz w:val="24"/>
                <w:szCs w:val="24"/>
              </w:rPr>
              <w:t>l</w:t>
            </w:r>
            <w:r w:rsidRPr="004F27F8">
              <w:rPr>
                <w:rFonts w:ascii="Times New Roman" w:eastAsia="Calibri" w:hAnsi="Times New Roman" w:cs="Times New Roman"/>
                <w:sz w:val="24"/>
                <w:szCs w:val="24"/>
              </w:rPr>
              <w:t>ı</w:t>
            </w:r>
            <w:r w:rsidRPr="004F27F8">
              <w:rPr>
                <w:rFonts w:ascii="Times New Roman(W1)" w:eastAsia="Calibri" w:hAnsi="Times New Roman(W1)" w:cs="Times New Roman"/>
                <w:sz w:val="24"/>
                <w:szCs w:val="24"/>
              </w:rPr>
              <w:t xml:space="preserve"> olarak bildirmekle y</w:t>
            </w:r>
            <w:r w:rsidRPr="004F27F8">
              <w:rPr>
                <w:rFonts w:ascii="Times New Roman(W1)" w:eastAsia="Calibri" w:hAnsi="Times New Roman(W1)" w:cs="Times New Roman(W1)"/>
                <w:sz w:val="24"/>
                <w:szCs w:val="24"/>
              </w:rPr>
              <w:t>ü</w:t>
            </w:r>
            <w:r w:rsidRPr="004F27F8">
              <w:rPr>
                <w:rFonts w:ascii="Times New Roman(W1)" w:eastAsia="Calibri" w:hAnsi="Times New Roman(W1)" w:cs="Times New Roman"/>
                <w:sz w:val="24"/>
                <w:szCs w:val="24"/>
              </w:rPr>
              <w:t>k</w:t>
            </w:r>
            <w:r w:rsidRPr="004F27F8">
              <w:rPr>
                <w:rFonts w:ascii="Times New Roman(W1)" w:eastAsia="Calibri" w:hAnsi="Times New Roman(W1)" w:cs="Times New Roman(W1)"/>
                <w:sz w:val="24"/>
                <w:szCs w:val="24"/>
              </w:rPr>
              <w:t>ü</w:t>
            </w:r>
            <w:r w:rsidRPr="004F27F8">
              <w:rPr>
                <w:rFonts w:ascii="Times New Roman(W1)" w:eastAsia="Calibri" w:hAnsi="Times New Roman(W1)" w:cs="Times New Roman"/>
                <w:sz w:val="24"/>
                <w:szCs w:val="24"/>
              </w:rPr>
              <w:t>ml</w:t>
            </w:r>
            <w:r w:rsidRPr="004F27F8">
              <w:rPr>
                <w:rFonts w:ascii="Times New Roman(W1)" w:eastAsia="Calibri" w:hAnsi="Times New Roman(W1)" w:cs="Times New Roman(W1)"/>
                <w:sz w:val="24"/>
                <w:szCs w:val="24"/>
              </w:rPr>
              <w:t>ü</w:t>
            </w:r>
            <w:r w:rsidRPr="004F27F8">
              <w:rPr>
                <w:rFonts w:ascii="Times New Roman(W1)" w:eastAsia="Calibri" w:hAnsi="Times New Roman(W1)" w:cs="Times New Roman"/>
                <w:sz w:val="24"/>
                <w:szCs w:val="24"/>
              </w:rPr>
              <w:t xml:space="preserve"> olurlar.</w:t>
            </w:r>
            <w:r w:rsidRPr="004F27F8">
              <w:rPr>
                <w:rFonts w:ascii="Times New Roman" w:eastAsia="Calibri" w:hAnsi="Times New Roman" w:cs="Times New Roman"/>
                <w:i/>
                <w:sz w:val="24"/>
                <w:szCs w:val="24"/>
              </w:rPr>
              <w:t xml:space="preserve"> </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540"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p w:rsidR="004F27F8" w:rsidRPr="004F27F8" w:rsidRDefault="004F27F8" w:rsidP="004F27F8">
            <w:pPr>
              <w:rPr>
                <w:rFonts w:ascii="Times New Roman" w:eastAsia="Calibri" w:hAnsi="Times New Roman" w:cs="Times New Roman"/>
                <w:sz w:val="24"/>
                <w:szCs w:val="24"/>
              </w:rPr>
            </w:pPr>
          </w:p>
          <w:p w:rsidR="004F27F8" w:rsidRPr="004F27F8" w:rsidRDefault="004F27F8" w:rsidP="004F27F8">
            <w:pPr>
              <w:rPr>
                <w:rFonts w:ascii="Times New Roman" w:eastAsia="Calibri" w:hAnsi="Times New Roman" w:cs="Times New Roman"/>
                <w:sz w:val="24"/>
                <w:szCs w:val="24"/>
              </w:rPr>
            </w:pPr>
          </w:p>
          <w:p w:rsidR="004F27F8" w:rsidRPr="004F27F8" w:rsidRDefault="004F27F8" w:rsidP="004F27F8">
            <w:pPr>
              <w:rPr>
                <w:rFonts w:ascii="Times New Roman" w:eastAsia="Calibri" w:hAnsi="Times New Roman" w:cs="Times New Roman"/>
                <w:sz w:val="24"/>
                <w:szCs w:val="24"/>
              </w:rPr>
            </w:pPr>
          </w:p>
          <w:p w:rsidR="004F27F8" w:rsidRPr="004F27F8" w:rsidRDefault="004F27F8" w:rsidP="004F27F8">
            <w:pPr>
              <w:rPr>
                <w:rFonts w:ascii="Times New Roman" w:eastAsia="Calibri" w:hAnsi="Times New Roman" w:cs="Times New Roman"/>
                <w:sz w:val="24"/>
                <w:szCs w:val="24"/>
              </w:rPr>
            </w:pPr>
          </w:p>
          <w:p w:rsidR="004F27F8" w:rsidRPr="004F27F8" w:rsidRDefault="004F27F8" w:rsidP="004F27F8">
            <w:pPr>
              <w:rPr>
                <w:rFonts w:ascii="Times New Roman" w:eastAsia="Calibri" w:hAnsi="Times New Roman" w:cs="Times New Roman"/>
                <w:sz w:val="24"/>
                <w:szCs w:val="24"/>
              </w:rPr>
            </w:pPr>
          </w:p>
          <w:p w:rsidR="004F27F8" w:rsidRPr="004F27F8" w:rsidRDefault="004F27F8" w:rsidP="004F27F8">
            <w:pPr>
              <w:rPr>
                <w:rFonts w:ascii="Times New Roman" w:eastAsia="Calibri" w:hAnsi="Times New Roman" w:cs="Times New Roman"/>
                <w:sz w:val="24"/>
                <w:szCs w:val="24"/>
              </w:rPr>
            </w:pPr>
          </w:p>
          <w:p w:rsidR="004F27F8" w:rsidRPr="004F27F8" w:rsidRDefault="004F27F8" w:rsidP="004F27F8">
            <w:pPr>
              <w:rPr>
                <w:rFonts w:ascii="Times New Roman" w:eastAsia="Calibri" w:hAnsi="Times New Roman" w:cs="Times New Roman"/>
                <w:sz w:val="24"/>
                <w:szCs w:val="24"/>
              </w:rPr>
            </w:pPr>
          </w:p>
          <w:p w:rsidR="004F27F8" w:rsidRPr="004F27F8" w:rsidRDefault="004F27F8" w:rsidP="004F27F8">
            <w:pPr>
              <w:rPr>
                <w:rFonts w:ascii="Times New Roman" w:eastAsia="Calibri" w:hAnsi="Times New Roman" w:cs="Times New Roman"/>
                <w:sz w:val="24"/>
                <w:szCs w:val="24"/>
              </w:rPr>
            </w:pPr>
          </w:p>
          <w:p w:rsidR="004F27F8" w:rsidRPr="004F27F8" w:rsidRDefault="004F27F8" w:rsidP="004F27F8">
            <w:pPr>
              <w:rPr>
                <w:rFonts w:ascii="Times New Roman" w:eastAsia="Calibri" w:hAnsi="Times New Roman" w:cs="Times New Roman"/>
                <w:sz w:val="24"/>
                <w:szCs w:val="24"/>
              </w:rPr>
            </w:pPr>
          </w:p>
          <w:p w:rsidR="004F27F8" w:rsidRPr="004F27F8" w:rsidRDefault="004F27F8" w:rsidP="004F27F8">
            <w:pPr>
              <w:rPr>
                <w:rFonts w:ascii="Times New Roman" w:eastAsia="Calibri" w:hAnsi="Times New Roman" w:cs="Times New Roman"/>
                <w:sz w:val="24"/>
                <w:szCs w:val="24"/>
              </w:rPr>
            </w:pPr>
          </w:p>
          <w:p w:rsidR="004F27F8" w:rsidRPr="004F27F8" w:rsidRDefault="004F27F8" w:rsidP="004F27F8">
            <w:pPr>
              <w:rPr>
                <w:rFonts w:ascii="Times New Roman" w:eastAsia="Calibri" w:hAnsi="Times New Roman" w:cs="Times New Roman"/>
                <w:sz w:val="24"/>
                <w:szCs w:val="24"/>
              </w:rPr>
            </w:pPr>
          </w:p>
        </w:tc>
        <w:tc>
          <w:tcPr>
            <w:tcW w:w="709" w:type="dxa"/>
            <w:gridSpan w:val="2"/>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(3)</w:t>
            </w:r>
          </w:p>
        </w:tc>
        <w:tc>
          <w:tcPr>
            <w:tcW w:w="5103" w:type="dxa"/>
            <w:gridSpan w:val="2"/>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Bu madde uyarınca dosyalanmış bir istidayı gören Mahkeme, borçlunun aylık olarak veya belirlenmiş başka periyotlarda almakta olduğu maaş veya ödeneği, kendisinin veya ailesinin diğer gelirlerini ve borçlunun bakmakla mükellef olduğu ailesi ile birlikte yaşamını insan onuruna yaraşır asgari koşullarda sürdürmek için ihtiyaç duyduğu para miktarını dikkate alarak, maaş ve ödeneğin uygun gördüğü kısmının, maaş ve ödeneği ödemekle yükümlü olan gerçek veya tüzel kişi tarafından doğrudan alacaklıya ödenmesine emir verebilir.</w:t>
            </w:r>
            <w:r w:rsidRPr="004F27F8">
              <w:rPr>
                <w:rFonts w:ascii="Times New Roman" w:eastAsia="Calibri" w:hAnsi="Times New Roman" w:cs="Times New Roman"/>
                <w:b/>
                <w:sz w:val="24"/>
                <w:szCs w:val="24"/>
              </w:rPr>
              <w:t xml:space="preserve">  </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540"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709" w:type="dxa"/>
            <w:gridSpan w:val="2"/>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(4)</w:t>
            </w:r>
          </w:p>
        </w:tc>
        <w:tc>
          <w:tcPr>
            <w:tcW w:w="5103" w:type="dxa"/>
            <w:gridSpan w:val="2"/>
            <w:tcBorders>
              <w:top w:val="nil"/>
              <w:left w:val="nil"/>
              <w:bottom w:val="nil"/>
              <w:right w:val="nil"/>
            </w:tcBorders>
          </w:tcPr>
          <w:p w:rsidR="004F27F8" w:rsidRPr="004F27F8" w:rsidRDefault="004F27F8" w:rsidP="004F27F8">
            <w:pPr>
              <w:ind w:left="39" w:hanging="39"/>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 xml:space="preserve">Böyle bir emir, Mahkemece başka türlü emir verilmedikçe, hükümlü borç ve masrafların tamamen tatmin edilmesine veya hükümlü borçlunun herhangi bir sebeple işten ayrılmasına veya maaş ve ödeneği alma hakkının ortadan kalkmasına değin yürürlükte kalır. Hükümlü borçlunun işten ayrılması veya maaş ve ödeneği alma hakkının ortadan kalkması halinde, ödemeyi yapmakla mükellef olan gerçek veya tüzel kişiler bu durumu Mahkeme Mukayyitliğine ve hükümlü alacaklı veya avukatına bildirmekle </w:t>
            </w:r>
            <w:r w:rsidRPr="004F27F8">
              <w:rPr>
                <w:rFonts w:ascii="Times New Roman" w:eastAsia="Calibri" w:hAnsi="Times New Roman" w:cs="Times New Roman"/>
                <w:sz w:val="24"/>
                <w:szCs w:val="24"/>
              </w:rPr>
              <w:lastRenderedPageBreak/>
              <w:t xml:space="preserve">mükelleftirler. </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540"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709" w:type="dxa"/>
            <w:gridSpan w:val="2"/>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(5)</w:t>
            </w:r>
          </w:p>
        </w:tc>
        <w:tc>
          <w:tcPr>
            <w:tcW w:w="5103" w:type="dxa"/>
            <w:gridSpan w:val="2"/>
            <w:tcBorders>
              <w:top w:val="nil"/>
              <w:left w:val="nil"/>
              <w:bottom w:val="nil"/>
              <w:right w:val="nil"/>
            </w:tcBorders>
          </w:tcPr>
          <w:p w:rsidR="004F27F8" w:rsidRPr="004F27F8" w:rsidRDefault="004F27F8" w:rsidP="004F27F8">
            <w:pPr>
              <w:ind w:left="39" w:hanging="39"/>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Mahkemenin bu madde altında vermiş olduğu emir, hükümlü borçlunun maaş veya ödeneğini ödemekle mükellef olan gerçek veya tüzel kişiye tebliğ edilir. Böyle bir emri tebliğ alan kişiler, Mahkeme kararında belirtilen meblağları, hükümlü alacaklı veya avukatının hesabına yatırmakla mükellef olur.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540" w:type="dxa"/>
            <w:tcBorders>
              <w:top w:val="nil"/>
              <w:left w:val="nil"/>
              <w:bottom w:val="nil"/>
              <w:right w:val="nil"/>
            </w:tcBorders>
          </w:tcPr>
          <w:p w:rsidR="004F27F8" w:rsidRPr="004F27F8" w:rsidRDefault="004F27F8" w:rsidP="004F27F8">
            <w:pPr>
              <w:keepNext/>
              <w:outlineLvl w:val="0"/>
              <w:rPr>
                <w:rFonts w:ascii="Times New Roman" w:eastAsia="Times New Roman" w:hAnsi="Times New Roman" w:cs="Times New Roman"/>
                <w:sz w:val="20"/>
                <w:szCs w:val="20"/>
              </w:rPr>
            </w:pPr>
            <w:r w:rsidRPr="004F27F8">
              <w:rPr>
                <w:rFonts w:ascii="Times New Roman" w:eastAsia="Times New Roman" w:hAnsi="Times New Roman" w:cs="Times New Roman"/>
                <w:sz w:val="20"/>
                <w:szCs w:val="20"/>
              </w:rPr>
              <w:t xml:space="preserve">   </w:t>
            </w:r>
          </w:p>
          <w:p w:rsidR="004F27F8" w:rsidRPr="004F27F8" w:rsidRDefault="004F27F8" w:rsidP="004F27F8">
            <w:pPr>
              <w:rPr>
                <w:rFonts w:ascii="Times New Roman" w:eastAsia="Calibri" w:hAnsi="Times New Roman" w:cs="Times New Roman"/>
                <w:b/>
                <w:sz w:val="20"/>
                <w:szCs w:val="20"/>
              </w:rPr>
            </w:pPr>
          </w:p>
        </w:tc>
        <w:tc>
          <w:tcPr>
            <w:tcW w:w="709" w:type="dxa"/>
            <w:gridSpan w:val="2"/>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(6)</w:t>
            </w:r>
          </w:p>
        </w:tc>
        <w:tc>
          <w:tcPr>
            <w:tcW w:w="5103" w:type="dxa"/>
            <w:gridSpan w:val="2"/>
            <w:tcBorders>
              <w:top w:val="nil"/>
              <w:left w:val="nil"/>
              <w:bottom w:val="nil"/>
              <w:right w:val="nil"/>
            </w:tcBorders>
          </w:tcPr>
          <w:p w:rsidR="004F27F8" w:rsidRPr="004F27F8" w:rsidRDefault="004F27F8" w:rsidP="004F27F8">
            <w:pPr>
              <w:ind w:left="39" w:hanging="39"/>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İşbu madde kuralları,</w:t>
            </w:r>
            <w:r w:rsidRPr="004F27F8">
              <w:rPr>
                <w:rFonts w:ascii="Times New Roman" w:eastAsia="Calibri" w:hAnsi="Times New Roman" w:cs="Times New Roman"/>
                <w:sz w:val="24"/>
                <w:szCs w:val="24"/>
                <w:vertAlign w:val="subscript"/>
              </w:rPr>
              <w:t xml:space="preserve"> </w:t>
            </w:r>
            <w:r w:rsidRPr="004F27F8">
              <w:rPr>
                <w:rFonts w:ascii="Times New Roman" w:eastAsia="Calibri" w:hAnsi="Times New Roman" w:cs="Times New Roman"/>
                <w:sz w:val="24"/>
                <w:szCs w:val="24"/>
              </w:rPr>
              <w:t>nafaka ve sosyal yardım maaşları haricindeki her tür maaş ve ödenek için uygulanır.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540"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709" w:type="dxa"/>
            <w:gridSpan w:val="2"/>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(7)</w:t>
            </w:r>
          </w:p>
        </w:tc>
        <w:tc>
          <w:tcPr>
            <w:tcW w:w="5103" w:type="dxa"/>
            <w:gridSpan w:val="2"/>
            <w:tcBorders>
              <w:top w:val="nil"/>
              <w:left w:val="nil"/>
              <w:bottom w:val="nil"/>
              <w:right w:val="nil"/>
            </w:tcBorders>
          </w:tcPr>
          <w:p w:rsidR="004F27F8" w:rsidRPr="004F27F8" w:rsidRDefault="004F27F8" w:rsidP="004F27F8">
            <w:pPr>
              <w:ind w:left="39" w:hanging="39"/>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Mahkeme, bu madde gereğince vermiş olduğu emirleri zaman zaman, koşullarda meydana gelen esaslı değişiklik sebebiyle gözden geçirebilir, değiştirebilir veya kaldırabilir.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540"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709" w:type="dxa"/>
            <w:gridSpan w:val="2"/>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(8)</w:t>
            </w:r>
          </w:p>
        </w:tc>
        <w:tc>
          <w:tcPr>
            <w:tcW w:w="5103" w:type="dxa"/>
            <w:gridSpan w:val="2"/>
            <w:tcBorders>
              <w:top w:val="nil"/>
              <w:left w:val="nil"/>
              <w:bottom w:val="nil"/>
              <w:right w:val="nil"/>
            </w:tcBorders>
          </w:tcPr>
          <w:p w:rsidR="004F27F8" w:rsidRPr="004F27F8" w:rsidRDefault="004F27F8" w:rsidP="004F27F8">
            <w:pPr>
              <w:ind w:left="39" w:hanging="39"/>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Bu maddenin düzenlediği herhangi bir yükümlülüğe aykırı davranan gerçek veya tüzel kişiler ve/veya yetkilileri,</w:t>
            </w:r>
            <w:r w:rsidRPr="004F27F8">
              <w:rPr>
                <w:rFonts w:ascii="Times New Roman" w:eastAsia="Calibri" w:hAnsi="Times New Roman" w:cs="Times New Roman"/>
                <w:b/>
                <w:sz w:val="24"/>
                <w:szCs w:val="24"/>
              </w:rPr>
              <w:t xml:space="preserve"> </w:t>
            </w:r>
            <w:r w:rsidRPr="004F27F8">
              <w:rPr>
                <w:rFonts w:ascii="Times New Roman" w:eastAsia="Calibri" w:hAnsi="Times New Roman" w:cs="Times New Roman"/>
                <w:sz w:val="24"/>
                <w:szCs w:val="24"/>
              </w:rPr>
              <w:t>bu Yasanın 75’inci maddesi kurallarına bağlı olarak bir Mahkeme emrine riayetsizlik etmiş gibi aynı kovuşturmaya tabi tutulurlar.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540"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709" w:type="dxa"/>
            <w:gridSpan w:val="2"/>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(9)</w:t>
            </w:r>
          </w:p>
        </w:tc>
        <w:tc>
          <w:tcPr>
            <w:tcW w:w="5103" w:type="dxa"/>
            <w:gridSpan w:val="2"/>
            <w:tcBorders>
              <w:top w:val="nil"/>
              <w:left w:val="nil"/>
              <w:bottom w:val="nil"/>
              <w:right w:val="nil"/>
            </w:tcBorders>
          </w:tcPr>
          <w:p w:rsidR="004F27F8" w:rsidRPr="004F27F8" w:rsidRDefault="004F27F8" w:rsidP="004F27F8">
            <w:pPr>
              <w:ind w:left="39" w:hanging="39"/>
              <w:jc w:val="both"/>
              <w:rPr>
                <w:rFonts w:ascii="Times New Roman" w:eastAsia="Calibri" w:hAnsi="Times New Roman" w:cs="Times New Roman"/>
                <w:b/>
                <w:sz w:val="24"/>
                <w:szCs w:val="24"/>
              </w:rPr>
            </w:pPr>
            <w:r w:rsidRPr="004F27F8">
              <w:rPr>
                <w:rFonts w:ascii="Times New Roman" w:eastAsia="Calibri" w:hAnsi="Times New Roman" w:cs="Times New Roman"/>
                <w:sz w:val="24"/>
                <w:szCs w:val="24"/>
              </w:rPr>
              <w:t>Yüksek Mahkeme, bu madde uyarınca kullanılacak formları saptamak, yazışma ve tebligat usul ve yöntemlerini belirlemek, Mahkemenin bu maddede öngörülen konulara ilişkin yargılama usul ve yöntemini düzenlemek amacıyla Resmi Gazetede yayımlanarakyürürlüğe girecek olan Mahkeme Tüzükleri yapabilir.”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540"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709" w:type="dxa"/>
            <w:gridSpan w:val="2"/>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67"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103" w:type="dxa"/>
            <w:gridSpan w:val="2"/>
            <w:tcBorders>
              <w:top w:val="nil"/>
              <w:left w:val="nil"/>
              <w:bottom w:val="nil"/>
              <w:right w:val="nil"/>
            </w:tcBorders>
          </w:tcPr>
          <w:p w:rsidR="004F27F8" w:rsidRPr="004F27F8" w:rsidRDefault="004F27F8" w:rsidP="004F27F8">
            <w:pPr>
              <w:ind w:left="39" w:hanging="39"/>
              <w:jc w:val="both"/>
              <w:rPr>
                <w:rFonts w:ascii="Times New Roman" w:eastAsia="Calibri" w:hAnsi="Times New Roman" w:cs="Times New Roman"/>
                <w:sz w:val="24"/>
                <w:szCs w:val="24"/>
              </w:rPr>
            </w:pP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 xml:space="preserve">Esas Yasaya Yeni Geçici 2’inci   </w:t>
            </w:r>
          </w:p>
        </w:tc>
        <w:tc>
          <w:tcPr>
            <w:tcW w:w="8155" w:type="dxa"/>
            <w:gridSpan w:val="7"/>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11. Esas Yasa Geçici 1’inci maddesinden sonra aşağıdaki yeni Geçici 2’nci Madde eklenmek suretiyle değiştirilir:</w:t>
            </w:r>
          </w:p>
          <w:p w:rsidR="004F27F8" w:rsidRPr="004F27F8" w:rsidRDefault="004F27F8" w:rsidP="004F27F8">
            <w:pPr>
              <w:ind w:left="465"/>
              <w:contextualSpacing/>
              <w:rPr>
                <w:rFonts w:ascii="Times New Roman" w:eastAsia="Calibri" w:hAnsi="Times New Roman" w:cs="Times New Roman"/>
                <w:sz w:val="24"/>
                <w:szCs w:val="24"/>
              </w:rPr>
            </w:pP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Maddenin Eklenmesi</w:t>
            </w: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828" w:type="dxa"/>
            <w:gridSpan w:val="2"/>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“Geçici Madde Satış Merkezleri Faaliyete Geçinceye Kadar Haczedilen Taşınır Malların Satış İşlemleri</w:t>
            </w:r>
          </w:p>
        </w:tc>
        <w:tc>
          <w:tcPr>
            <w:tcW w:w="6091" w:type="dxa"/>
            <w:gridSpan w:val="4"/>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2. Bu Yasanın 19’uncu maddesi uyarınca Mahkemeye bağlı olarak oluşturulması öngörülen satış merkezlerinin tümünün veya bir kısmının faaliyete geçmesine kadar; haczedilen taşınır</w:t>
            </w:r>
            <w:r w:rsidRPr="004F27F8">
              <w:rPr>
                <w:rFonts w:ascii="Times New Roman" w:eastAsia="Calibri" w:hAnsi="Times New Roman" w:cs="Times New Roman"/>
                <w:b/>
                <w:sz w:val="24"/>
                <w:szCs w:val="24"/>
              </w:rPr>
              <w:t xml:space="preserve"> </w:t>
            </w:r>
            <w:r w:rsidRPr="004F27F8">
              <w:rPr>
                <w:rFonts w:ascii="Times New Roman" w:eastAsia="Calibri" w:hAnsi="Times New Roman" w:cs="Times New Roman"/>
                <w:sz w:val="24"/>
                <w:szCs w:val="24"/>
              </w:rPr>
              <w:t>mallar açık artırma yöntemi ile satılabilir.”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828" w:type="dxa"/>
            <w:gridSpan w:val="2"/>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421"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004" w:type="dxa"/>
            <w:gridSpan w:val="2"/>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4666" w:type="dxa"/>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p>
        </w:tc>
      </w:tr>
    </w:tbl>
    <w:p w:rsidR="004F27F8" w:rsidRDefault="004F27F8">
      <w:r>
        <w:br w:type="page"/>
      </w:r>
    </w:p>
    <w:tbl>
      <w:tblPr>
        <w:tblStyle w:val="TableGrid"/>
        <w:tblW w:w="9889" w:type="dxa"/>
        <w:tblLayout w:type="fixed"/>
        <w:tblLook w:val="04A0" w:firstRow="1" w:lastRow="0" w:firstColumn="1" w:lastColumn="0" w:noHBand="0" w:noVBand="1"/>
      </w:tblPr>
      <w:tblGrid>
        <w:gridCol w:w="1734"/>
        <w:gridCol w:w="236"/>
        <w:gridCol w:w="1828"/>
        <w:gridCol w:w="858"/>
        <w:gridCol w:w="5233"/>
      </w:tblGrid>
      <w:tr w:rsidR="004F27F8" w:rsidRPr="004F27F8" w:rsidTr="004F27F8">
        <w:trPr>
          <w:trHeight w:val="673"/>
        </w:trPr>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lastRenderedPageBreak/>
              <w:t>Esas Yasaya</w:t>
            </w:r>
            <w:r w:rsidRPr="004F27F8">
              <w:rPr>
                <w:rFonts w:ascii="Times New Roman" w:eastAsia="Calibri" w:hAnsi="Times New Roman" w:cs="Times New Roman"/>
                <w:b/>
                <w:sz w:val="24"/>
                <w:szCs w:val="24"/>
              </w:rPr>
              <w:t xml:space="preserve"> </w:t>
            </w:r>
            <w:r w:rsidRPr="004F27F8">
              <w:rPr>
                <w:rFonts w:ascii="Times New Roman" w:eastAsia="Calibri" w:hAnsi="Times New Roman" w:cs="Times New Roman"/>
                <w:sz w:val="24"/>
                <w:szCs w:val="24"/>
              </w:rPr>
              <w:t xml:space="preserve">Yeni Geçici 3’üncü </w:t>
            </w:r>
          </w:p>
        </w:tc>
        <w:tc>
          <w:tcPr>
            <w:tcW w:w="8155" w:type="dxa"/>
            <w:gridSpan w:val="4"/>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12. Esas Yasa yeni Geçici 2’nci Maddesinden sonra aşağıdaki yeni Geçici 3’üncü Madde eklenmek suretiyle değiştirilir: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Maddenin Eklenmesi</w:t>
            </w: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828"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“Mevcut Tescillerin Süresinin Uzatılması</w:t>
            </w:r>
          </w:p>
        </w:tc>
        <w:tc>
          <w:tcPr>
            <w:tcW w:w="6091" w:type="dxa"/>
            <w:gridSpan w:val="2"/>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3. Bu (Değişiklik) Yasasının yürürlüğe girdiği tarihte bu Yasanın</w:t>
            </w:r>
            <w:r w:rsidRPr="004F27F8">
              <w:rPr>
                <w:rFonts w:ascii="Times New Roman" w:eastAsia="Calibri" w:hAnsi="Times New Roman" w:cs="Times New Roman"/>
                <w:b/>
                <w:sz w:val="24"/>
                <w:szCs w:val="24"/>
              </w:rPr>
              <w:t xml:space="preserve"> </w:t>
            </w:r>
            <w:r w:rsidRPr="004F27F8">
              <w:rPr>
                <w:rFonts w:ascii="Times New Roman" w:eastAsia="Calibri" w:hAnsi="Times New Roman" w:cs="Times New Roman"/>
                <w:sz w:val="24"/>
                <w:szCs w:val="24"/>
              </w:rPr>
              <w:t>55’inci maddesi tahtında yükümlü kılınmış taşınmaz malların tescil süreleri, ilk dosyalandıkları tarih esas alınarak toplamda 10 (on) yıla tamamlanacak şekilde uzatılmış kabul edilir. Bu kapsamdaki tescil süresinin 10 (on) yılı tamamlaması halinde, bu Yasanın 56’ncı maddesi tahtında uzatılması mümkündür.”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1828"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858"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5233" w:type="dxa"/>
            <w:tcBorders>
              <w:top w:val="nil"/>
              <w:left w:val="nil"/>
              <w:bottom w:val="nil"/>
              <w:right w:val="nil"/>
            </w:tcBorders>
          </w:tcPr>
          <w:p w:rsidR="004F27F8" w:rsidRPr="004F27F8" w:rsidRDefault="004F27F8" w:rsidP="004F27F8">
            <w:pPr>
              <w:ind w:left="39" w:hanging="39"/>
              <w:jc w:val="both"/>
              <w:rPr>
                <w:rFonts w:ascii="Times New Roman" w:eastAsia="Calibri" w:hAnsi="Times New Roman" w:cs="Times New Roman"/>
                <w:sz w:val="24"/>
                <w:szCs w:val="24"/>
              </w:rPr>
            </w:pP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r w:rsidRPr="004F27F8">
              <w:rPr>
                <w:rFonts w:ascii="Times New Roman" w:eastAsia="Calibri" w:hAnsi="Times New Roman" w:cs="Times New Roman"/>
                <w:sz w:val="24"/>
                <w:szCs w:val="24"/>
              </w:rPr>
              <w:t>Yürürlüğe Giriş</w:t>
            </w:r>
          </w:p>
        </w:tc>
        <w:tc>
          <w:tcPr>
            <w:tcW w:w="8155" w:type="dxa"/>
            <w:gridSpan w:val="4"/>
            <w:tcBorders>
              <w:top w:val="nil"/>
              <w:left w:val="nil"/>
              <w:bottom w:val="nil"/>
              <w:right w:val="nil"/>
            </w:tcBorders>
          </w:tcPr>
          <w:p w:rsidR="004F27F8" w:rsidRPr="004F27F8" w:rsidRDefault="004F27F8" w:rsidP="004F27F8">
            <w:pPr>
              <w:jc w:val="both"/>
              <w:rPr>
                <w:rFonts w:ascii="Times New Roman" w:eastAsia="Calibri" w:hAnsi="Times New Roman" w:cs="Times New Roman"/>
                <w:sz w:val="24"/>
                <w:szCs w:val="24"/>
              </w:rPr>
            </w:pPr>
            <w:r w:rsidRPr="004F27F8">
              <w:rPr>
                <w:rFonts w:ascii="Times New Roman" w:eastAsia="Calibri" w:hAnsi="Times New Roman" w:cs="Times New Roman"/>
                <w:sz w:val="24"/>
                <w:szCs w:val="24"/>
              </w:rPr>
              <w:t>13. Bu Yasa, Resmi Gazete’de yayımlandığı tarihten başlayarak yürürlüğe girer.</w:t>
            </w:r>
          </w:p>
        </w:tc>
      </w:tr>
      <w:tr w:rsidR="004F27F8" w:rsidRPr="004F27F8" w:rsidTr="004F27F8">
        <w:tc>
          <w:tcPr>
            <w:tcW w:w="1734"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236" w:type="dxa"/>
            <w:tcBorders>
              <w:top w:val="nil"/>
              <w:left w:val="nil"/>
              <w:bottom w:val="nil"/>
              <w:right w:val="nil"/>
            </w:tcBorders>
          </w:tcPr>
          <w:p w:rsidR="004F27F8" w:rsidRPr="004F27F8" w:rsidRDefault="004F27F8" w:rsidP="004F27F8">
            <w:pPr>
              <w:rPr>
                <w:rFonts w:ascii="Times New Roman" w:eastAsia="Calibri" w:hAnsi="Times New Roman" w:cs="Times New Roman"/>
                <w:sz w:val="24"/>
                <w:szCs w:val="24"/>
              </w:rPr>
            </w:pPr>
          </w:p>
        </w:tc>
        <w:tc>
          <w:tcPr>
            <w:tcW w:w="7919" w:type="dxa"/>
            <w:gridSpan w:val="3"/>
            <w:tcBorders>
              <w:top w:val="nil"/>
              <w:left w:val="nil"/>
              <w:bottom w:val="nil"/>
              <w:right w:val="nil"/>
            </w:tcBorders>
          </w:tcPr>
          <w:p w:rsidR="004F27F8" w:rsidRPr="004F27F8" w:rsidRDefault="004F27F8" w:rsidP="004F27F8">
            <w:pPr>
              <w:jc w:val="both"/>
              <w:rPr>
                <w:rFonts w:ascii="Times New Roman" w:eastAsia="Calibri" w:hAnsi="Times New Roman" w:cs="Times New Roman"/>
                <w:b/>
                <w:sz w:val="24"/>
                <w:szCs w:val="24"/>
              </w:rPr>
            </w:pPr>
          </w:p>
        </w:tc>
      </w:tr>
    </w:tbl>
    <w:p w:rsidR="004F27F8" w:rsidRPr="004F27F8" w:rsidRDefault="004F27F8" w:rsidP="004F27F8">
      <w:pPr>
        <w:spacing w:after="160" w:line="259" w:lineRule="auto"/>
        <w:rPr>
          <w:rFonts w:ascii="Times New Roman" w:eastAsia="Calibri" w:hAnsi="Times New Roman" w:cs="Times New Roman"/>
          <w:sz w:val="24"/>
          <w:szCs w:val="24"/>
        </w:rPr>
      </w:pPr>
    </w:p>
    <w:p w:rsidR="008B4F2E" w:rsidRPr="00C906F5" w:rsidRDefault="008B4F2E" w:rsidP="00C906F5">
      <w:pPr>
        <w:spacing w:after="0"/>
        <w:rPr>
          <w:sz w:val="24"/>
          <w:szCs w:val="24"/>
        </w:rPr>
      </w:pPr>
    </w:p>
    <w:sectPr w:rsidR="008B4F2E" w:rsidRPr="00C906F5" w:rsidSect="00EC1E36">
      <w:pgSz w:w="12240" w:h="15840"/>
      <w:pgMar w:top="1417" w:right="1417" w:bottom="1417" w:left="1417" w:header="720" w:footer="720" w:gutter="0"/>
      <w:cols w:space="720"/>
      <w:titlePg/>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F74" w:rsidRDefault="00F64F74" w:rsidP="00C906F5">
      <w:pPr>
        <w:spacing w:after="0" w:line="240" w:lineRule="auto"/>
      </w:pPr>
      <w:r>
        <w:separator/>
      </w:r>
    </w:p>
  </w:endnote>
  <w:endnote w:type="continuationSeparator" w:id="0">
    <w:p w:rsidR="00F64F74" w:rsidRDefault="00F64F74" w:rsidP="00C9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F74" w:rsidRDefault="00F64F74" w:rsidP="00C906F5">
      <w:pPr>
        <w:spacing w:after="0" w:line="240" w:lineRule="auto"/>
      </w:pPr>
      <w:r>
        <w:separator/>
      </w:r>
    </w:p>
  </w:footnote>
  <w:footnote w:type="continuationSeparator" w:id="0">
    <w:p w:rsidR="00F64F74" w:rsidRDefault="00F64F74" w:rsidP="00C90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17"/>
    <w:rsid w:val="000F7A17"/>
    <w:rsid w:val="001064B4"/>
    <w:rsid w:val="001B26FB"/>
    <w:rsid w:val="00440D17"/>
    <w:rsid w:val="004C0334"/>
    <w:rsid w:val="004E748B"/>
    <w:rsid w:val="004F2292"/>
    <w:rsid w:val="004F27F8"/>
    <w:rsid w:val="00554448"/>
    <w:rsid w:val="00657B3D"/>
    <w:rsid w:val="006C4042"/>
    <w:rsid w:val="006C6A9C"/>
    <w:rsid w:val="00750EEC"/>
    <w:rsid w:val="008B4F2E"/>
    <w:rsid w:val="008C6CC2"/>
    <w:rsid w:val="0098370E"/>
    <w:rsid w:val="00BF5C8A"/>
    <w:rsid w:val="00C0075D"/>
    <w:rsid w:val="00C22F85"/>
    <w:rsid w:val="00C906F5"/>
    <w:rsid w:val="00CA7825"/>
    <w:rsid w:val="00CD4D8F"/>
    <w:rsid w:val="00DB6696"/>
    <w:rsid w:val="00F6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75D"/>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075D"/>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0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6F5"/>
    <w:rPr>
      <w:lang w:val="tr-TR"/>
    </w:rPr>
  </w:style>
  <w:style w:type="paragraph" w:styleId="Header">
    <w:name w:val="header"/>
    <w:basedOn w:val="Normal"/>
    <w:link w:val="HeaderChar"/>
    <w:uiPriority w:val="99"/>
    <w:unhideWhenUsed/>
    <w:rsid w:val="00C90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6F5"/>
    <w:rPr>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75D"/>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075D"/>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0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6F5"/>
    <w:rPr>
      <w:lang w:val="tr-TR"/>
    </w:rPr>
  </w:style>
  <w:style w:type="paragraph" w:styleId="Header">
    <w:name w:val="header"/>
    <w:basedOn w:val="Normal"/>
    <w:link w:val="HeaderChar"/>
    <w:uiPriority w:val="99"/>
    <w:unhideWhenUsed/>
    <w:rsid w:val="00C90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6F5"/>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95019">
      <w:bodyDiv w:val="1"/>
      <w:marLeft w:val="0"/>
      <w:marRight w:val="0"/>
      <w:marTop w:val="0"/>
      <w:marBottom w:val="0"/>
      <w:divBdr>
        <w:top w:val="none" w:sz="0" w:space="0" w:color="auto"/>
        <w:left w:val="none" w:sz="0" w:space="0" w:color="auto"/>
        <w:bottom w:val="none" w:sz="0" w:space="0" w:color="auto"/>
        <w:right w:val="none" w:sz="0" w:space="0" w:color="auto"/>
      </w:divBdr>
    </w:div>
    <w:div w:id="11002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3118</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Gündüz</dc:creator>
  <cp:lastModifiedBy>Pınar Gündüz</cp:lastModifiedBy>
  <cp:revision>4</cp:revision>
  <cp:lastPrinted>2019-04-18T13:32:00Z</cp:lastPrinted>
  <dcterms:created xsi:type="dcterms:W3CDTF">2019-11-05T14:59:00Z</dcterms:created>
  <dcterms:modified xsi:type="dcterms:W3CDTF">2019-11-05T15:10:00Z</dcterms:modified>
</cp:coreProperties>
</file>