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9498"/>
      </w:tblGrid>
      <w:tr w:rsidR="00515B45" w:rsidRPr="00515B45" w:rsidTr="00515B45">
        <w:tc>
          <w:tcPr>
            <w:tcW w:w="9498" w:type="dxa"/>
            <w:hideMark/>
          </w:tcPr>
          <w:p w:rsidR="00515B45" w:rsidRPr="00515B45" w:rsidRDefault="00515B45" w:rsidP="00515B45">
            <w:pPr>
              <w:spacing w:after="200" w:line="276" w:lineRule="auto"/>
              <w:jc w:val="both"/>
              <w:rPr>
                <w:lang w:val="en-US"/>
              </w:rPr>
            </w:pPr>
            <w:r w:rsidRPr="00515B45">
              <w:t xml:space="preserve">Kuzey Kıbrıs Türk Cumhuriyeti Cumhuriyet Meclisi’nin 29 Mayıs 2017 tarihli </w:t>
            </w:r>
            <w:proofErr w:type="spellStart"/>
            <w:r w:rsidRPr="00515B45">
              <w:t>Altmışdokuzuncu</w:t>
            </w:r>
            <w:proofErr w:type="spellEnd"/>
            <w:r w:rsidRPr="00515B45">
              <w:t xml:space="preserve"> Birleşiminde Oybirliğiyle kabul olunan “</w:t>
            </w:r>
            <w:r w:rsidRPr="00515B45">
              <w:rPr>
                <w:noProof/>
                <w:lang w:eastAsia="en-US"/>
              </w:rPr>
              <w:t>Kamu</w:t>
            </w:r>
            <w:r w:rsidRPr="00D96F17">
              <w:t xml:space="preserve"> </w:t>
            </w:r>
            <w:r w:rsidRPr="00D96F17">
              <w:t>Sağlık Çalışanları (Değişiklik) Yasası</w:t>
            </w:r>
            <w:r w:rsidRPr="00515B45">
              <w:t xml:space="preserve">” Anayasanın 94’üncü maddesinin (1)’inci fıkrası gereğince Kuzey Kıbrıs Türk Cumhuriyeti Cumhurbaşkanı tarafından Resmi </w:t>
            </w:r>
            <w:proofErr w:type="spellStart"/>
            <w:r w:rsidRPr="00515B45">
              <w:t>Gazete’de</w:t>
            </w:r>
            <w:proofErr w:type="spellEnd"/>
            <w:r w:rsidRPr="00515B45">
              <w:t xml:space="preserve"> yayımlanmak suretiyle ilan olunur.</w:t>
            </w:r>
          </w:p>
        </w:tc>
      </w:tr>
      <w:tr w:rsidR="00515B45" w:rsidRPr="00515B45" w:rsidTr="00515B45">
        <w:tc>
          <w:tcPr>
            <w:tcW w:w="9498" w:type="dxa"/>
          </w:tcPr>
          <w:p w:rsidR="00515B45" w:rsidRPr="00515B45" w:rsidRDefault="00515B45" w:rsidP="00515B45">
            <w:pPr>
              <w:spacing w:after="200" w:line="276" w:lineRule="auto"/>
              <w:jc w:val="both"/>
              <w:rPr>
                <w:lang w:val="en-US"/>
              </w:rPr>
            </w:pPr>
          </w:p>
        </w:tc>
      </w:tr>
      <w:tr w:rsidR="00515B45" w:rsidRPr="00515B45" w:rsidTr="00515B45">
        <w:tc>
          <w:tcPr>
            <w:tcW w:w="9498" w:type="dxa"/>
            <w:hideMark/>
          </w:tcPr>
          <w:p w:rsidR="00515B45" w:rsidRPr="00515B45" w:rsidRDefault="00515B45" w:rsidP="00515B45">
            <w:pPr>
              <w:spacing w:after="200" w:line="276" w:lineRule="auto"/>
              <w:jc w:val="center"/>
              <w:rPr>
                <w:lang w:val="en-US"/>
              </w:rPr>
            </w:pPr>
            <w:r w:rsidRPr="00515B45">
              <w:t>Sayı: 4</w:t>
            </w:r>
            <w:r>
              <w:t>7</w:t>
            </w:r>
            <w:r w:rsidRPr="00515B45">
              <w:t>/2017</w:t>
            </w:r>
          </w:p>
        </w:tc>
      </w:tr>
    </w:tbl>
    <w:p w:rsidR="00515B45" w:rsidRPr="00515B45" w:rsidRDefault="00515B45" w:rsidP="00515B45">
      <w:pPr>
        <w:jc w:val="center"/>
        <w:rPr>
          <w:noProof/>
          <w:lang w:eastAsia="en-US"/>
        </w:rPr>
      </w:pPr>
    </w:p>
    <w:p w:rsidR="00515B45" w:rsidRPr="00515B45" w:rsidRDefault="00515B45" w:rsidP="00515B45">
      <w:pPr>
        <w:jc w:val="center"/>
        <w:rPr>
          <w:noProof/>
          <w:lang w:eastAsia="en-US"/>
        </w:rPr>
      </w:pPr>
    </w:p>
    <w:p w:rsidR="00515B45" w:rsidRDefault="00515B45" w:rsidP="00D96F17">
      <w:pPr>
        <w:jc w:val="center"/>
        <w:outlineLvl w:val="0"/>
      </w:pPr>
    </w:p>
    <w:p w:rsidR="00515B45" w:rsidRDefault="00515B45" w:rsidP="00D96F17">
      <w:pPr>
        <w:jc w:val="center"/>
        <w:outlineLvl w:val="0"/>
      </w:pPr>
    </w:p>
    <w:p w:rsidR="00403ACC" w:rsidRPr="00D96F17" w:rsidRDefault="00403ACC" w:rsidP="00D96F17">
      <w:pPr>
        <w:jc w:val="center"/>
        <w:outlineLvl w:val="0"/>
      </w:pPr>
      <w:r w:rsidRPr="00D96F17">
        <w:t>KAMU SAĞLIK ÇALIŞA</w:t>
      </w:r>
      <w:r w:rsidR="00142A6A">
        <w:t>NLARI (DEĞİŞİKLİK) YASASI</w:t>
      </w:r>
    </w:p>
    <w:p w:rsidR="00A67308" w:rsidRDefault="00A67308" w:rsidP="00D96F17">
      <w:pPr>
        <w:jc w:val="center"/>
        <w:outlineLvl w:val="0"/>
      </w:pPr>
    </w:p>
    <w:p w:rsidR="00515B45" w:rsidRPr="00D96F17" w:rsidRDefault="00515B45" w:rsidP="00D96F17">
      <w:pPr>
        <w:jc w:val="center"/>
        <w:outlineLvl w:val="0"/>
      </w:pPr>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236"/>
        <w:gridCol w:w="473"/>
        <w:gridCol w:w="658"/>
        <w:gridCol w:w="993"/>
        <w:gridCol w:w="567"/>
        <w:gridCol w:w="141"/>
        <w:gridCol w:w="426"/>
        <w:gridCol w:w="4192"/>
      </w:tblGrid>
      <w:tr w:rsidR="009C69B9" w:rsidRPr="00D96F17" w:rsidTr="00DC20BF">
        <w:tc>
          <w:tcPr>
            <w:tcW w:w="9262" w:type="dxa"/>
            <w:gridSpan w:val="9"/>
          </w:tcPr>
          <w:p w:rsidR="009C69B9" w:rsidRPr="00D96F17" w:rsidRDefault="009C69B9" w:rsidP="00D96F17">
            <w:pPr>
              <w:jc w:val="center"/>
              <w:outlineLvl w:val="0"/>
            </w:pPr>
          </w:p>
        </w:tc>
      </w:tr>
      <w:tr w:rsidR="009C69B9" w:rsidRPr="00D96F17" w:rsidTr="00DC20BF">
        <w:tc>
          <w:tcPr>
            <w:tcW w:w="1576" w:type="dxa"/>
          </w:tcPr>
          <w:p w:rsidR="009C69B9" w:rsidRPr="00D96F17" w:rsidRDefault="009C69B9" w:rsidP="00D96F17">
            <w:pPr>
              <w:jc w:val="center"/>
              <w:outlineLvl w:val="0"/>
            </w:pPr>
          </w:p>
        </w:tc>
        <w:tc>
          <w:tcPr>
            <w:tcW w:w="7686" w:type="dxa"/>
            <w:gridSpan w:val="8"/>
          </w:tcPr>
          <w:p w:rsidR="009C69B9" w:rsidRPr="00D96F17" w:rsidRDefault="00A3255B" w:rsidP="00D96F17">
            <w:pPr>
              <w:jc w:val="both"/>
            </w:pPr>
            <w:r w:rsidRPr="00D96F17">
              <w:t xml:space="preserve">        </w:t>
            </w:r>
            <w:r w:rsidR="009C69B9" w:rsidRPr="00D96F17">
              <w:t>Kuzey Kıbrıs Türk Cumhuriyeti Cumhuriyet Meclisi aşağıdaki Yasayı yapar:</w:t>
            </w:r>
          </w:p>
        </w:tc>
      </w:tr>
      <w:tr w:rsidR="009C69B9" w:rsidRPr="00D96F17" w:rsidTr="00DC20BF">
        <w:tc>
          <w:tcPr>
            <w:tcW w:w="1576" w:type="dxa"/>
          </w:tcPr>
          <w:p w:rsidR="009C69B9" w:rsidRPr="00D96F17" w:rsidRDefault="009C69B9" w:rsidP="00D96F17">
            <w:pPr>
              <w:jc w:val="center"/>
              <w:outlineLvl w:val="0"/>
            </w:pPr>
          </w:p>
        </w:tc>
        <w:tc>
          <w:tcPr>
            <w:tcW w:w="7686" w:type="dxa"/>
            <w:gridSpan w:val="8"/>
          </w:tcPr>
          <w:p w:rsidR="009C69B9" w:rsidRPr="00D96F17" w:rsidRDefault="009C69B9" w:rsidP="00D96F17">
            <w:pPr>
              <w:jc w:val="both"/>
            </w:pPr>
          </w:p>
        </w:tc>
      </w:tr>
      <w:tr w:rsidR="009142F9" w:rsidRPr="00D96F17" w:rsidTr="00DC20BF">
        <w:tc>
          <w:tcPr>
            <w:tcW w:w="1576" w:type="dxa"/>
          </w:tcPr>
          <w:p w:rsidR="009142F9" w:rsidRPr="00D96F17" w:rsidRDefault="009142F9" w:rsidP="00D96F17">
            <w:r w:rsidRPr="00D96F17">
              <w:t>Kısa İsim</w:t>
            </w:r>
          </w:p>
          <w:p w:rsidR="009142F9" w:rsidRPr="00D96F17" w:rsidRDefault="009142F9" w:rsidP="00D96F17">
            <w:r w:rsidRPr="00D96F17">
              <w:t xml:space="preserve"> 6/2009</w:t>
            </w:r>
          </w:p>
          <w:p w:rsidR="009142F9" w:rsidRPr="00D96F17" w:rsidRDefault="009142F9" w:rsidP="00D96F17">
            <w:r w:rsidRPr="00D96F17">
              <w:t xml:space="preserve">   75/2009</w:t>
            </w:r>
          </w:p>
          <w:p w:rsidR="009142F9" w:rsidRPr="00D96F17" w:rsidRDefault="009142F9" w:rsidP="00D96F17">
            <w:r w:rsidRPr="00D96F17">
              <w:t xml:space="preserve">   37/2010</w:t>
            </w:r>
          </w:p>
          <w:p w:rsidR="00E2261A" w:rsidRPr="00D96F17" w:rsidRDefault="00E2261A" w:rsidP="00D96F17">
            <w:r w:rsidRPr="00D96F17">
              <w:t xml:space="preserve">   49/2010</w:t>
            </w:r>
          </w:p>
          <w:p w:rsidR="006F4363" w:rsidRPr="00D96F17" w:rsidRDefault="006F4363" w:rsidP="00D96F17">
            <w:r w:rsidRPr="00D96F17">
              <w:t xml:space="preserve">   18/2017</w:t>
            </w:r>
          </w:p>
        </w:tc>
        <w:tc>
          <w:tcPr>
            <w:tcW w:w="7686" w:type="dxa"/>
            <w:gridSpan w:val="8"/>
          </w:tcPr>
          <w:p w:rsidR="009142F9" w:rsidRPr="00D96F17" w:rsidRDefault="009142F9" w:rsidP="00D96F17">
            <w:pPr>
              <w:jc w:val="both"/>
            </w:pPr>
            <w:r w:rsidRPr="00D96F17">
              <w:t>1. Bu Yasa, Kamu Sağlık Çalışanları (Değişiklik) Yasası olarak isimlendirilir ve aşağıda “Esas Yasa” olarak anılan Kamu Sağlık Çalışanları Yasası ile birlikte okunur.</w:t>
            </w:r>
          </w:p>
          <w:p w:rsidR="009142F9" w:rsidRPr="00D96F17" w:rsidRDefault="009142F9" w:rsidP="00D96F17">
            <w:pPr>
              <w:jc w:val="both"/>
            </w:pPr>
          </w:p>
        </w:tc>
      </w:tr>
      <w:tr w:rsidR="00A3255B" w:rsidRPr="00D96F17" w:rsidTr="00DC20BF">
        <w:tc>
          <w:tcPr>
            <w:tcW w:w="1576" w:type="dxa"/>
          </w:tcPr>
          <w:p w:rsidR="00A3255B" w:rsidRPr="00D96F17" w:rsidRDefault="00A3255B" w:rsidP="00D96F17"/>
        </w:tc>
        <w:tc>
          <w:tcPr>
            <w:tcW w:w="7686" w:type="dxa"/>
            <w:gridSpan w:val="8"/>
          </w:tcPr>
          <w:p w:rsidR="00A3255B" w:rsidRPr="00D96F17" w:rsidRDefault="00A3255B" w:rsidP="00D96F17">
            <w:pPr>
              <w:jc w:val="both"/>
            </w:pPr>
          </w:p>
        </w:tc>
      </w:tr>
      <w:tr w:rsidR="00A3255B" w:rsidRPr="00D96F17" w:rsidTr="00DC20BF">
        <w:tc>
          <w:tcPr>
            <w:tcW w:w="1576" w:type="dxa"/>
          </w:tcPr>
          <w:p w:rsidR="00A3255B" w:rsidRPr="00D96F17" w:rsidRDefault="00A3255B" w:rsidP="00D96F17">
            <w:r w:rsidRPr="00D96F17">
              <w:t xml:space="preserve">Esas Yasanın 38’inci </w:t>
            </w:r>
          </w:p>
        </w:tc>
        <w:tc>
          <w:tcPr>
            <w:tcW w:w="7686" w:type="dxa"/>
            <w:gridSpan w:val="8"/>
          </w:tcPr>
          <w:p w:rsidR="00A3255B" w:rsidRPr="00D96F17" w:rsidRDefault="00A3255B" w:rsidP="00D96F17">
            <w:pPr>
              <w:jc w:val="both"/>
            </w:pPr>
            <w:r w:rsidRPr="00D96F17">
              <w:t>2. Esas Yasa</w:t>
            </w:r>
            <w:r w:rsidR="00296A90" w:rsidRPr="00D96F17">
              <w:t>,</w:t>
            </w:r>
            <w:r w:rsidRPr="00D96F17">
              <w:t xml:space="preserve"> 38’inci maddesi</w:t>
            </w:r>
            <w:r w:rsidR="00900101" w:rsidRPr="00D96F17">
              <w:t xml:space="preserve"> kaldırılmak ve yerine aşağıdaki yeni 38’inci madde konmak</w:t>
            </w:r>
            <w:r w:rsidR="005E7B01" w:rsidRPr="00D96F17">
              <w:t xml:space="preserve"> suretiyle değiştirilir:</w:t>
            </w:r>
          </w:p>
        </w:tc>
      </w:tr>
      <w:tr w:rsidR="00D84358" w:rsidRPr="00D96F17" w:rsidTr="00DC20BF">
        <w:tc>
          <w:tcPr>
            <w:tcW w:w="1576" w:type="dxa"/>
          </w:tcPr>
          <w:p w:rsidR="00D84358" w:rsidRPr="00D96F17" w:rsidRDefault="00E55D06" w:rsidP="00D96F17">
            <w:r w:rsidRPr="00D96F17">
              <w:t>Maddesinin</w:t>
            </w:r>
          </w:p>
        </w:tc>
        <w:tc>
          <w:tcPr>
            <w:tcW w:w="236" w:type="dxa"/>
          </w:tcPr>
          <w:p w:rsidR="00D84358" w:rsidRPr="00D96F17" w:rsidRDefault="00D84358" w:rsidP="00D96F17">
            <w:pPr>
              <w:jc w:val="both"/>
            </w:pPr>
          </w:p>
        </w:tc>
        <w:tc>
          <w:tcPr>
            <w:tcW w:w="2124" w:type="dxa"/>
            <w:gridSpan w:val="3"/>
          </w:tcPr>
          <w:p w:rsidR="00D84358" w:rsidRPr="00D96F17" w:rsidRDefault="00D84358" w:rsidP="00D96F17"/>
        </w:tc>
        <w:tc>
          <w:tcPr>
            <w:tcW w:w="708" w:type="dxa"/>
            <w:gridSpan w:val="2"/>
          </w:tcPr>
          <w:p w:rsidR="00D84358" w:rsidRPr="00D96F17" w:rsidRDefault="00D84358" w:rsidP="00D96F17">
            <w:pPr>
              <w:jc w:val="both"/>
            </w:pPr>
          </w:p>
        </w:tc>
        <w:tc>
          <w:tcPr>
            <w:tcW w:w="4618" w:type="dxa"/>
            <w:gridSpan w:val="2"/>
          </w:tcPr>
          <w:p w:rsidR="00D84358" w:rsidRPr="00D96F17" w:rsidRDefault="00D84358" w:rsidP="00D96F17">
            <w:pPr>
              <w:pStyle w:val="Gvdemetni20"/>
              <w:shd w:val="clear" w:color="auto" w:fill="auto"/>
              <w:tabs>
                <w:tab w:val="left" w:pos="7881"/>
              </w:tabs>
              <w:spacing w:after="0" w:line="240" w:lineRule="auto"/>
              <w:ind w:right="19" w:firstLine="0"/>
              <w:jc w:val="both"/>
              <w:rPr>
                <w:color w:val="000000"/>
                <w:sz w:val="24"/>
                <w:szCs w:val="24"/>
                <w:lang w:val="tr-TR" w:eastAsia="tr-TR" w:bidi="tr-TR"/>
              </w:rPr>
            </w:pPr>
          </w:p>
        </w:tc>
      </w:tr>
      <w:tr w:rsidR="00E55D06" w:rsidRPr="00D96F17" w:rsidTr="00E55D06">
        <w:tc>
          <w:tcPr>
            <w:tcW w:w="1576" w:type="dxa"/>
          </w:tcPr>
          <w:p w:rsidR="00E55D06" w:rsidRPr="00D96F17" w:rsidRDefault="00E55D06" w:rsidP="00D96F17">
            <w:r w:rsidRPr="00D96F17">
              <w:t>Değiştirilmesi</w:t>
            </w:r>
          </w:p>
        </w:tc>
        <w:tc>
          <w:tcPr>
            <w:tcW w:w="236" w:type="dxa"/>
          </w:tcPr>
          <w:p w:rsidR="00E55D06" w:rsidRPr="00D96F17" w:rsidRDefault="00E55D06" w:rsidP="00D96F17">
            <w:pPr>
              <w:jc w:val="both"/>
            </w:pPr>
          </w:p>
        </w:tc>
        <w:tc>
          <w:tcPr>
            <w:tcW w:w="2124" w:type="dxa"/>
            <w:gridSpan w:val="3"/>
          </w:tcPr>
          <w:p w:rsidR="00E55D06" w:rsidRPr="00D96F17" w:rsidRDefault="00E55D06" w:rsidP="00D96F17">
            <w:r w:rsidRPr="00D96F17">
              <w:t>“Kişisel Ödenek, Özel Tahsisat ve Görev Ödeneği Alma Hak</w:t>
            </w:r>
            <w:r w:rsidR="00C635EF" w:rsidRPr="00D96F17">
              <w:t>larına İlişkin Kurallar</w:t>
            </w:r>
            <w:r w:rsidRPr="00D96F17">
              <w:t xml:space="preserve"> </w:t>
            </w:r>
          </w:p>
        </w:tc>
        <w:tc>
          <w:tcPr>
            <w:tcW w:w="567" w:type="dxa"/>
          </w:tcPr>
          <w:p w:rsidR="00E55D06" w:rsidRPr="00D96F17" w:rsidRDefault="00E55D06" w:rsidP="00D96F17">
            <w:pPr>
              <w:jc w:val="both"/>
            </w:pPr>
            <w:r w:rsidRPr="00D96F17">
              <w:t>38.</w:t>
            </w:r>
          </w:p>
        </w:tc>
        <w:tc>
          <w:tcPr>
            <w:tcW w:w="567" w:type="dxa"/>
            <w:gridSpan w:val="2"/>
          </w:tcPr>
          <w:p w:rsidR="00E55D06" w:rsidRPr="00D96F17" w:rsidRDefault="00E55D06" w:rsidP="00D96F17">
            <w:pPr>
              <w:jc w:val="both"/>
            </w:pPr>
            <w:r w:rsidRPr="00D96F17">
              <w:t>(1)</w:t>
            </w:r>
          </w:p>
        </w:tc>
        <w:tc>
          <w:tcPr>
            <w:tcW w:w="4192" w:type="dxa"/>
          </w:tcPr>
          <w:p w:rsidR="00E55D06" w:rsidRPr="00D96F17" w:rsidRDefault="00E55D06" w:rsidP="006F54DE">
            <w:pPr>
              <w:pStyle w:val="Gvdemetni20"/>
              <w:shd w:val="clear" w:color="auto" w:fill="auto"/>
              <w:tabs>
                <w:tab w:val="left" w:pos="7881"/>
              </w:tabs>
              <w:spacing w:after="0" w:line="240" w:lineRule="auto"/>
              <w:ind w:right="19" w:firstLine="0"/>
              <w:jc w:val="both"/>
              <w:rPr>
                <w:color w:val="000000"/>
                <w:sz w:val="24"/>
                <w:szCs w:val="24"/>
                <w:lang w:val="tr-TR" w:eastAsia="tr-TR" w:bidi="tr-TR"/>
              </w:rPr>
            </w:pPr>
            <w:r w:rsidRPr="00D96F17">
              <w:rPr>
                <w:color w:val="000000"/>
                <w:sz w:val="24"/>
                <w:szCs w:val="24"/>
                <w:lang w:val="tr-TR" w:eastAsia="tr-TR" w:bidi="tr-TR"/>
              </w:rPr>
              <w:t xml:space="preserve">Hekimlere, hizmetlerinin özelliği dikkate alınarak maaşlarına </w:t>
            </w:r>
            <w:r w:rsidR="00B0452A">
              <w:rPr>
                <w:color w:val="000000"/>
                <w:sz w:val="24"/>
                <w:szCs w:val="24"/>
                <w:lang w:val="tr-TR" w:eastAsia="tr-TR" w:bidi="tr-TR"/>
              </w:rPr>
              <w:t>ek olarak</w:t>
            </w:r>
            <w:r w:rsidRPr="00D96F17">
              <w:rPr>
                <w:color w:val="000000"/>
                <w:sz w:val="24"/>
                <w:szCs w:val="24"/>
                <w:lang w:val="tr-TR" w:eastAsia="tr-TR" w:bidi="tr-TR"/>
              </w:rPr>
              <w:t xml:space="preserve"> maaşlarının </w:t>
            </w:r>
            <w:r w:rsidR="006F54DE">
              <w:rPr>
                <w:color w:val="000000"/>
                <w:sz w:val="24"/>
                <w:szCs w:val="24"/>
                <w:lang w:val="tr-TR" w:eastAsia="tr-TR" w:bidi="tr-TR"/>
              </w:rPr>
              <w:t>%</w:t>
            </w:r>
            <w:r w:rsidRPr="00D96F17">
              <w:rPr>
                <w:color w:val="000000"/>
                <w:sz w:val="24"/>
                <w:szCs w:val="24"/>
                <w:lang w:val="tr-TR" w:eastAsia="tr-TR" w:bidi="tr-TR"/>
              </w:rPr>
              <w:t xml:space="preserve">10’u oranında </w:t>
            </w:r>
            <w:r w:rsidR="006F54DE">
              <w:rPr>
                <w:color w:val="000000"/>
                <w:sz w:val="24"/>
                <w:szCs w:val="24"/>
                <w:lang w:val="tr-TR" w:eastAsia="tr-TR" w:bidi="tr-TR"/>
              </w:rPr>
              <w:t>K</w:t>
            </w:r>
            <w:r w:rsidRPr="00D96F17">
              <w:rPr>
                <w:color w:val="000000"/>
                <w:sz w:val="24"/>
                <w:szCs w:val="24"/>
                <w:lang w:val="tr-TR" w:eastAsia="tr-TR" w:bidi="tr-TR"/>
              </w:rPr>
              <w:t xml:space="preserve">işisel </w:t>
            </w:r>
            <w:r w:rsidR="006F54DE">
              <w:rPr>
                <w:color w:val="000000"/>
                <w:sz w:val="24"/>
                <w:szCs w:val="24"/>
                <w:lang w:val="tr-TR" w:eastAsia="tr-TR" w:bidi="tr-TR"/>
              </w:rPr>
              <w:t>Ö</w:t>
            </w:r>
            <w:r w:rsidRPr="00D96F17">
              <w:rPr>
                <w:color w:val="000000"/>
                <w:sz w:val="24"/>
                <w:szCs w:val="24"/>
                <w:lang w:val="tr-TR" w:eastAsia="tr-TR" w:bidi="tr-TR"/>
              </w:rPr>
              <w:t xml:space="preserve">denek verilir. Kişisel </w:t>
            </w:r>
            <w:r w:rsidR="005D1FAE" w:rsidRPr="00D96F17">
              <w:rPr>
                <w:color w:val="000000"/>
                <w:sz w:val="24"/>
                <w:szCs w:val="24"/>
                <w:lang w:val="tr-TR" w:eastAsia="tr-TR" w:bidi="tr-TR"/>
              </w:rPr>
              <w:t>Ö</w:t>
            </w:r>
            <w:r w:rsidRPr="00D96F17">
              <w:rPr>
                <w:color w:val="000000"/>
                <w:sz w:val="24"/>
                <w:szCs w:val="24"/>
                <w:lang w:val="tr-TR" w:eastAsia="tr-TR" w:bidi="tr-TR"/>
              </w:rPr>
              <w:t>denek emeklilik amaçları bakımından maaşlarla bütünlendirilerek dikkate alınır ve emeklilik maaşları buna göre hesaplanır.</w:t>
            </w:r>
          </w:p>
        </w:tc>
      </w:tr>
      <w:tr w:rsidR="00C52C31" w:rsidRPr="00D96F17" w:rsidTr="00E55D06">
        <w:tc>
          <w:tcPr>
            <w:tcW w:w="1576" w:type="dxa"/>
          </w:tcPr>
          <w:p w:rsidR="00C52C31" w:rsidRPr="00D96F17" w:rsidRDefault="00C52C31" w:rsidP="00D96F17"/>
        </w:tc>
        <w:tc>
          <w:tcPr>
            <w:tcW w:w="236" w:type="dxa"/>
          </w:tcPr>
          <w:p w:rsidR="00C52C31" w:rsidRPr="00D96F17" w:rsidRDefault="00C52C31" w:rsidP="00D96F17">
            <w:pPr>
              <w:jc w:val="both"/>
            </w:pPr>
          </w:p>
        </w:tc>
        <w:tc>
          <w:tcPr>
            <w:tcW w:w="2124" w:type="dxa"/>
            <w:gridSpan w:val="3"/>
          </w:tcPr>
          <w:p w:rsidR="00C52C31" w:rsidRPr="00D96F17" w:rsidRDefault="00C52C31" w:rsidP="00D96F17">
            <w:pPr>
              <w:tabs>
                <w:tab w:val="left" w:pos="1418"/>
              </w:tabs>
              <w:rPr>
                <w:color w:val="000000"/>
              </w:rPr>
            </w:pPr>
            <w:r w:rsidRPr="00D96F17">
              <w:rPr>
                <w:color w:val="000000"/>
              </w:rPr>
              <w:t>47/2010</w:t>
            </w:r>
          </w:p>
          <w:p w:rsidR="00C52C31" w:rsidRPr="00D96F17" w:rsidRDefault="00C52C31" w:rsidP="00D96F17">
            <w:pPr>
              <w:tabs>
                <w:tab w:val="left" w:pos="1418"/>
              </w:tabs>
              <w:rPr>
                <w:color w:val="000000"/>
              </w:rPr>
            </w:pPr>
            <w:r w:rsidRPr="00D96F17">
              <w:rPr>
                <w:color w:val="000000"/>
              </w:rPr>
              <w:t xml:space="preserve">   33/2013</w:t>
            </w:r>
          </w:p>
          <w:p w:rsidR="00C52C31" w:rsidRPr="00D96F17" w:rsidRDefault="00C52C31" w:rsidP="00D96F17">
            <w:pPr>
              <w:tabs>
                <w:tab w:val="left" w:pos="1418"/>
              </w:tabs>
              <w:rPr>
                <w:color w:val="000000"/>
              </w:rPr>
            </w:pPr>
            <w:r w:rsidRPr="00D96F17">
              <w:rPr>
                <w:color w:val="000000"/>
              </w:rPr>
              <w:t xml:space="preserve">   18/2014</w:t>
            </w:r>
          </w:p>
          <w:p w:rsidR="00C52C31" w:rsidRPr="00D96F17" w:rsidRDefault="00C52C31" w:rsidP="00D96F17">
            <w:pPr>
              <w:jc w:val="both"/>
              <w:rPr>
                <w:color w:val="000000"/>
              </w:rPr>
            </w:pPr>
            <w:r w:rsidRPr="00D96F17">
              <w:rPr>
                <w:color w:val="000000"/>
              </w:rPr>
              <w:t xml:space="preserve">     4/2015</w:t>
            </w:r>
          </w:p>
          <w:p w:rsidR="00C52C31" w:rsidRPr="00D96F17" w:rsidRDefault="00C52C31" w:rsidP="00D96F17">
            <w:pPr>
              <w:jc w:val="both"/>
              <w:rPr>
                <w:color w:val="000000"/>
              </w:rPr>
            </w:pPr>
            <w:r w:rsidRPr="00D96F17">
              <w:rPr>
                <w:color w:val="000000"/>
              </w:rPr>
              <w:t xml:space="preserve">   46/2015</w:t>
            </w:r>
          </w:p>
          <w:p w:rsidR="00C52C31" w:rsidRPr="00D96F17" w:rsidRDefault="00C52C31" w:rsidP="00D96F17">
            <w:pPr>
              <w:jc w:val="both"/>
            </w:pPr>
          </w:p>
        </w:tc>
        <w:tc>
          <w:tcPr>
            <w:tcW w:w="567" w:type="dxa"/>
          </w:tcPr>
          <w:p w:rsidR="00C52C31" w:rsidRPr="00D96F17" w:rsidRDefault="00C52C31" w:rsidP="00D96F17">
            <w:pPr>
              <w:jc w:val="both"/>
            </w:pPr>
          </w:p>
        </w:tc>
        <w:tc>
          <w:tcPr>
            <w:tcW w:w="567" w:type="dxa"/>
            <w:gridSpan w:val="2"/>
          </w:tcPr>
          <w:p w:rsidR="00C52C31" w:rsidRPr="00D96F17" w:rsidRDefault="00C52C31" w:rsidP="00D96F17">
            <w:pPr>
              <w:jc w:val="both"/>
            </w:pPr>
            <w:r w:rsidRPr="00D96F17">
              <w:t>(2)</w:t>
            </w:r>
          </w:p>
        </w:tc>
        <w:tc>
          <w:tcPr>
            <w:tcW w:w="4192" w:type="dxa"/>
          </w:tcPr>
          <w:p w:rsidR="00C52C31" w:rsidRPr="00D96F17" w:rsidRDefault="00C52C31" w:rsidP="006F54DE">
            <w:pPr>
              <w:pStyle w:val="Gvdemetni20"/>
              <w:shd w:val="clear" w:color="auto" w:fill="auto"/>
              <w:tabs>
                <w:tab w:val="left" w:pos="4070"/>
              </w:tabs>
              <w:spacing w:after="0" w:line="240" w:lineRule="auto"/>
              <w:ind w:right="19" w:firstLine="0"/>
              <w:jc w:val="both"/>
              <w:rPr>
                <w:color w:val="000000"/>
                <w:sz w:val="24"/>
                <w:szCs w:val="24"/>
                <w:lang w:val="tr-TR" w:eastAsia="tr-TR" w:bidi="tr-TR"/>
              </w:rPr>
            </w:pPr>
            <w:r w:rsidRPr="00D96F17">
              <w:rPr>
                <w:color w:val="000000"/>
                <w:sz w:val="24"/>
                <w:szCs w:val="24"/>
                <w:lang w:val="tr-TR" w:eastAsia="tr-TR" w:bidi="tr-TR"/>
              </w:rPr>
              <w:t xml:space="preserve">Kamu Çalışanlarının Aylık (Maaş-Ücret) ve Diğer Ödeneklerin Düzenlenmesi Yasası uyarınca çalışan hekimlere, yukarıdaki (l)’inci fıkrada belirtilen </w:t>
            </w:r>
            <w:r w:rsidR="005D1FAE" w:rsidRPr="00D96F17">
              <w:rPr>
                <w:color w:val="000000"/>
                <w:sz w:val="24"/>
                <w:szCs w:val="24"/>
                <w:lang w:val="tr-TR" w:eastAsia="tr-TR" w:bidi="tr-TR"/>
              </w:rPr>
              <w:t>K</w:t>
            </w:r>
            <w:r w:rsidRPr="00D96F17">
              <w:rPr>
                <w:color w:val="000000"/>
                <w:sz w:val="24"/>
                <w:szCs w:val="24"/>
                <w:lang w:val="tr-TR" w:eastAsia="tr-TR" w:bidi="tr-TR"/>
              </w:rPr>
              <w:t xml:space="preserve">işisel </w:t>
            </w:r>
            <w:r w:rsidR="005D1FAE" w:rsidRPr="00D96F17">
              <w:rPr>
                <w:color w:val="000000"/>
                <w:sz w:val="24"/>
                <w:szCs w:val="24"/>
                <w:lang w:val="tr-TR" w:eastAsia="tr-TR" w:bidi="tr-TR"/>
              </w:rPr>
              <w:t>Ö</w:t>
            </w:r>
            <w:r w:rsidRPr="00D96F17">
              <w:rPr>
                <w:color w:val="000000"/>
                <w:sz w:val="24"/>
                <w:szCs w:val="24"/>
                <w:lang w:val="tr-TR" w:eastAsia="tr-TR" w:bidi="tr-TR"/>
              </w:rPr>
              <w:t xml:space="preserve">denek uygulanmaz ve maaşlarına </w:t>
            </w:r>
            <w:r w:rsidR="00B0452A">
              <w:rPr>
                <w:color w:val="000000"/>
                <w:sz w:val="24"/>
                <w:szCs w:val="24"/>
                <w:lang w:val="tr-TR" w:eastAsia="tr-TR" w:bidi="tr-TR"/>
              </w:rPr>
              <w:t>ek olarak</w:t>
            </w:r>
            <w:r w:rsidRPr="00D96F17">
              <w:rPr>
                <w:color w:val="000000"/>
                <w:sz w:val="24"/>
                <w:szCs w:val="24"/>
                <w:lang w:val="tr-TR" w:eastAsia="tr-TR" w:bidi="tr-TR"/>
              </w:rPr>
              <w:t xml:space="preserve"> maaşlarının %</w:t>
            </w:r>
            <w:proofErr w:type="gramStart"/>
            <w:r w:rsidRPr="00D96F17">
              <w:rPr>
                <w:color w:val="000000"/>
                <w:sz w:val="24"/>
                <w:szCs w:val="24"/>
                <w:lang w:val="tr-TR" w:eastAsia="tr-TR" w:bidi="tr-TR"/>
              </w:rPr>
              <w:t>7.5’i</w:t>
            </w:r>
            <w:proofErr w:type="gramEnd"/>
            <w:r w:rsidRPr="00D96F17">
              <w:rPr>
                <w:color w:val="000000"/>
                <w:sz w:val="24"/>
                <w:szCs w:val="24"/>
                <w:lang w:val="tr-TR" w:eastAsia="tr-TR" w:bidi="tr-TR"/>
              </w:rPr>
              <w:t xml:space="preserve"> oranında Özel Tahsisat verilir. Özel Tahsisat emeklilik amaçları bakımından dikkate alınmaz.</w:t>
            </w:r>
          </w:p>
        </w:tc>
      </w:tr>
      <w:tr w:rsidR="00E13F46" w:rsidRPr="00D96F17" w:rsidTr="00F17B1C">
        <w:tc>
          <w:tcPr>
            <w:tcW w:w="1576" w:type="dxa"/>
          </w:tcPr>
          <w:p w:rsidR="00E13F46" w:rsidRPr="00D96F17" w:rsidRDefault="00E13F46" w:rsidP="00D96F17"/>
        </w:tc>
        <w:tc>
          <w:tcPr>
            <w:tcW w:w="236" w:type="dxa"/>
          </w:tcPr>
          <w:p w:rsidR="00E13F46" w:rsidRPr="00D96F17" w:rsidRDefault="00E13F46" w:rsidP="00D96F17">
            <w:pPr>
              <w:jc w:val="both"/>
            </w:pPr>
          </w:p>
        </w:tc>
        <w:tc>
          <w:tcPr>
            <w:tcW w:w="2124" w:type="dxa"/>
            <w:gridSpan w:val="3"/>
          </w:tcPr>
          <w:p w:rsidR="00E13F46" w:rsidRPr="00D96F17" w:rsidRDefault="00E13F46" w:rsidP="00D96F17">
            <w:pPr>
              <w:jc w:val="both"/>
            </w:pPr>
            <w:r w:rsidRPr="00D96F17">
              <w:t>34/2007</w:t>
            </w:r>
          </w:p>
          <w:p w:rsidR="00E13F46" w:rsidRPr="00D96F17" w:rsidRDefault="00E13F46" w:rsidP="00D96F17">
            <w:r w:rsidRPr="00D96F17">
              <w:t xml:space="preserve">    19/2016</w:t>
            </w:r>
          </w:p>
        </w:tc>
        <w:tc>
          <w:tcPr>
            <w:tcW w:w="567" w:type="dxa"/>
          </w:tcPr>
          <w:p w:rsidR="00E13F46" w:rsidRPr="00D96F17" w:rsidRDefault="00E13F46" w:rsidP="00D96F17">
            <w:pPr>
              <w:jc w:val="both"/>
            </w:pPr>
          </w:p>
        </w:tc>
        <w:tc>
          <w:tcPr>
            <w:tcW w:w="4759" w:type="dxa"/>
            <w:gridSpan w:val="3"/>
          </w:tcPr>
          <w:p w:rsidR="00E13F46" w:rsidRPr="00D96F17" w:rsidRDefault="00C635EF" w:rsidP="00D96F17">
            <w:pPr>
              <w:pStyle w:val="Gvdemetni20"/>
              <w:shd w:val="clear" w:color="auto" w:fill="auto"/>
              <w:tabs>
                <w:tab w:val="left" w:pos="4070"/>
              </w:tabs>
              <w:spacing w:after="0" w:line="240" w:lineRule="auto"/>
              <w:ind w:right="19" w:firstLine="0"/>
              <w:jc w:val="both"/>
              <w:rPr>
                <w:color w:val="000000"/>
                <w:sz w:val="24"/>
                <w:szCs w:val="24"/>
                <w:lang w:val="tr-TR" w:eastAsia="tr-TR" w:bidi="tr-TR"/>
              </w:rPr>
            </w:pPr>
            <w:r w:rsidRPr="00D96F17">
              <w:rPr>
                <w:sz w:val="24"/>
                <w:szCs w:val="24"/>
              </w:rPr>
              <w:t xml:space="preserve">   </w:t>
            </w:r>
            <w:r w:rsidR="00E13F46" w:rsidRPr="00D96F17">
              <w:rPr>
                <w:sz w:val="24"/>
                <w:szCs w:val="24"/>
              </w:rPr>
              <w:t xml:space="preserve"> </w:t>
            </w:r>
            <w:proofErr w:type="spellStart"/>
            <w:r w:rsidR="00E13F46" w:rsidRPr="00D96F17">
              <w:rPr>
                <w:sz w:val="24"/>
                <w:szCs w:val="24"/>
              </w:rPr>
              <w:t>Ancak</w:t>
            </w:r>
            <w:proofErr w:type="spellEnd"/>
            <w:r w:rsidR="00E13F46" w:rsidRPr="00D96F17">
              <w:rPr>
                <w:sz w:val="24"/>
                <w:szCs w:val="24"/>
              </w:rPr>
              <w:t xml:space="preserve"> </w:t>
            </w:r>
            <w:proofErr w:type="spellStart"/>
            <w:r w:rsidR="00E13F46" w:rsidRPr="00D96F17">
              <w:rPr>
                <w:sz w:val="24"/>
                <w:szCs w:val="24"/>
              </w:rPr>
              <w:t>Yataklı</w:t>
            </w:r>
            <w:proofErr w:type="spellEnd"/>
            <w:r w:rsidR="00E13F46" w:rsidRPr="00D96F17">
              <w:rPr>
                <w:sz w:val="24"/>
                <w:szCs w:val="24"/>
              </w:rPr>
              <w:t xml:space="preserve"> </w:t>
            </w:r>
            <w:proofErr w:type="spellStart"/>
            <w:r w:rsidR="00E13F46" w:rsidRPr="00D96F17">
              <w:rPr>
                <w:sz w:val="24"/>
                <w:szCs w:val="24"/>
              </w:rPr>
              <w:t>Tedavi</w:t>
            </w:r>
            <w:proofErr w:type="spellEnd"/>
            <w:r w:rsidR="00E13F46" w:rsidRPr="00D96F17">
              <w:rPr>
                <w:sz w:val="24"/>
                <w:szCs w:val="24"/>
              </w:rPr>
              <w:t xml:space="preserve"> </w:t>
            </w:r>
            <w:proofErr w:type="spellStart"/>
            <w:r w:rsidR="00E13F46" w:rsidRPr="00D96F17">
              <w:rPr>
                <w:sz w:val="24"/>
                <w:szCs w:val="24"/>
              </w:rPr>
              <w:t>Kurumları</w:t>
            </w:r>
            <w:proofErr w:type="spellEnd"/>
            <w:r w:rsidR="00E13F46" w:rsidRPr="00D96F17">
              <w:rPr>
                <w:sz w:val="24"/>
                <w:szCs w:val="24"/>
              </w:rPr>
              <w:t xml:space="preserve"> </w:t>
            </w:r>
            <w:proofErr w:type="spellStart"/>
            <w:r w:rsidR="00E13F46" w:rsidRPr="00D96F17">
              <w:rPr>
                <w:sz w:val="24"/>
                <w:szCs w:val="24"/>
              </w:rPr>
              <w:t>Dairesi</w:t>
            </w:r>
            <w:proofErr w:type="spellEnd"/>
            <w:r w:rsidR="00E13F46" w:rsidRPr="00D96F17">
              <w:rPr>
                <w:sz w:val="24"/>
                <w:szCs w:val="24"/>
              </w:rPr>
              <w:t xml:space="preserve"> (</w:t>
            </w:r>
            <w:proofErr w:type="spellStart"/>
            <w:r w:rsidR="00E13F46" w:rsidRPr="00D96F17">
              <w:rPr>
                <w:sz w:val="24"/>
                <w:szCs w:val="24"/>
              </w:rPr>
              <w:t>Kuruluş</w:t>
            </w:r>
            <w:proofErr w:type="spellEnd"/>
            <w:r w:rsidR="00E13F46" w:rsidRPr="00D96F17">
              <w:rPr>
                <w:sz w:val="24"/>
                <w:szCs w:val="24"/>
              </w:rPr>
              <w:t xml:space="preserve">, </w:t>
            </w:r>
            <w:proofErr w:type="spellStart"/>
            <w:r w:rsidR="00E13F46" w:rsidRPr="00D96F17">
              <w:rPr>
                <w:sz w:val="24"/>
                <w:szCs w:val="24"/>
              </w:rPr>
              <w:t>Görev</w:t>
            </w:r>
            <w:proofErr w:type="spellEnd"/>
            <w:r w:rsidR="00E13F46" w:rsidRPr="00D96F17">
              <w:rPr>
                <w:sz w:val="24"/>
                <w:szCs w:val="24"/>
              </w:rPr>
              <w:t xml:space="preserve"> </w:t>
            </w:r>
            <w:proofErr w:type="spellStart"/>
            <w:r w:rsidR="00E13F46" w:rsidRPr="00D96F17">
              <w:rPr>
                <w:sz w:val="24"/>
                <w:szCs w:val="24"/>
              </w:rPr>
              <w:t>ve</w:t>
            </w:r>
            <w:proofErr w:type="spellEnd"/>
            <w:r w:rsidR="00E13F46" w:rsidRPr="00D96F17">
              <w:rPr>
                <w:sz w:val="24"/>
                <w:szCs w:val="24"/>
              </w:rPr>
              <w:t xml:space="preserve"> </w:t>
            </w:r>
            <w:proofErr w:type="spellStart"/>
            <w:r w:rsidR="00E13F46" w:rsidRPr="00D96F17">
              <w:rPr>
                <w:sz w:val="24"/>
                <w:szCs w:val="24"/>
              </w:rPr>
              <w:t>Çalışma</w:t>
            </w:r>
            <w:proofErr w:type="spellEnd"/>
            <w:r w:rsidR="00E13F46" w:rsidRPr="00D96F17">
              <w:rPr>
                <w:sz w:val="24"/>
                <w:szCs w:val="24"/>
              </w:rPr>
              <w:t xml:space="preserve"> </w:t>
            </w:r>
            <w:proofErr w:type="spellStart"/>
            <w:r w:rsidR="00E13F46" w:rsidRPr="00D96F17">
              <w:rPr>
                <w:sz w:val="24"/>
                <w:szCs w:val="24"/>
              </w:rPr>
              <w:t>Esasları</w:t>
            </w:r>
            <w:proofErr w:type="spellEnd"/>
            <w:r w:rsidR="00E13F46" w:rsidRPr="00D96F17">
              <w:rPr>
                <w:sz w:val="24"/>
                <w:szCs w:val="24"/>
              </w:rPr>
              <w:t xml:space="preserve">) </w:t>
            </w:r>
            <w:proofErr w:type="spellStart"/>
            <w:r w:rsidR="00E13F46" w:rsidRPr="00D96F17">
              <w:rPr>
                <w:sz w:val="24"/>
                <w:szCs w:val="24"/>
              </w:rPr>
              <w:t>Yasasına</w:t>
            </w:r>
            <w:proofErr w:type="spellEnd"/>
            <w:r w:rsidR="00E13F46" w:rsidRPr="00D96F17">
              <w:rPr>
                <w:sz w:val="24"/>
                <w:szCs w:val="24"/>
              </w:rPr>
              <w:t xml:space="preserve"> </w:t>
            </w:r>
            <w:proofErr w:type="spellStart"/>
            <w:r w:rsidR="00E13F46" w:rsidRPr="00D96F17">
              <w:rPr>
                <w:sz w:val="24"/>
                <w:szCs w:val="24"/>
              </w:rPr>
              <w:t>bağlı</w:t>
            </w:r>
            <w:proofErr w:type="spellEnd"/>
            <w:r w:rsidR="00E13F46" w:rsidRPr="00D96F17">
              <w:rPr>
                <w:sz w:val="24"/>
                <w:szCs w:val="24"/>
              </w:rPr>
              <w:t xml:space="preserve"> </w:t>
            </w:r>
            <w:proofErr w:type="spellStart"/>
            <w:r w:rsidR="00E13F46" w:rsidRPr="00D96F17">
              <w:rPr>
                <w:sz w:val="24"/>
                <w:szCs w:val="24"/>
              </w:rPr>
              <w:t>olarak</w:t>
            </w:r>
            <w:proofErr w:type="spellEnd"/>
            <w:r w:rsidR="00E13F46" w:rsidRPr="00D96F17">
              <w:rPr>
                <w:sz w:val="24"/>
                <w:szCs w:val="24"/>
              </w:rPr>
              <w:t xml:space="preserve"> </w:t>
            </w:r>
            <w:proofErr w:type="spellStart"/>
            <w:r w:rsidR="00E13F46" w:rsidRPr="00D96F17">
              <w:rPr>
                <w:sz w:val="24"/>
                <w:szCs w:val="24"/>
              </w:rPr>
              <w:t>çalışan</w:t>
            </w:r>
            <w:proofErr w:type="spellEnd"/>
            <w:r w:rsidR="00E13F46" w:rsidRPr="00D96F17">
              <w:rPr>
                <w:sz w:val="24"/>
                <w:szCs w:val="24"/>
              </w:rPr>
              <w:t xml:space="preserve"> </w:t>
            </w:r>
            <w:proofErr w:type="spellStart"/>
            <w:r w:rsidR="00E13F46" w:rsidRPr="00D96F17">
              <w:rPr>
                <w:sz w:val="24"/>
                <w:szCs w:val="24"/>
              </w:rPr>
              <w:t>asistan</w:t>
            </w:r>
            <w:proofErr w:type="spellEnd"/>
            <w:r w:rsidR="00E13F46" w:rsidRPr="00D96F17">
              <w:rPr>
                <w:sz w:val="24"/>
                <w:szCs w:val="24"/>
              </w:rPr>
              <w:t xml:space="preserve"> </w:t>
            </w:r>
            <w:proofErr w:type="spellStart"/>
            <w:r w:rsidR="00E13F46" w:rsidRPr="00D96F17">
              <w:rPr>
                <w:sz w:val="24"/>
                <w:szCs w:val="24"/>
              </w:rPr>
              <w:t>hekimler</w:t>
            </w:r>
            <w:proofErr w:type="spellEnd"/>
            <w:r w:rsidRPr="00D96F17">
              <w:rPr>
                <w:sz w:val="24"/>
                <w:szCs w:val="24"/>
              </w:rPr>
              <w:t>,</w:t>
            </w:r>
            <w:r w:rsidR="00E13F46" w:rsidRPr="00D96F17">
              <w:rPr>
                <w:sz w:val="24"/>
                <w:szCs w:val="24"/>
              </w:rPr>
              <w:t xml:space="preserve"> </w:t>
            </w:r>
            <w:proofErr w:type="spellStart"/>
            <w:r w:rsidR="00E13F46" w:rsidRPr="00D96F17">
              <w:rPr>
                <w:sz w:val="24"/>
                <w:szCs w:val="24"/>
              </w:rPr>
              <w:t>bu</w:t>
            </w:r>
            <w:proofErr w:type="spellEnd"/>
            <w:r w:rsidR="00E13F46" w:rsidRPr="00D96F17">
              <w:rPr>
                <w:sz w:val="24"/>
                <w:szCs w:val="24"/>
              </w:rPr>
              <w:t xml:space="preserve"> </w:t>
            </w:r>
            <w:proofErr w:type="spellStart"/>
            <w:r w:rsidR="00E13F46" w:rsidRPr="00D96F17">
              <w:rPr>
                <w:sz w:val="24"/>
                <w:szCs w:val="24"/>
              </w:rPr>
              <w:t>maddede</w:t>
            </w:r>
            <w:proofErr w:type="spellEnd"/>
            <w:r w:rsidR="00E13F46" w:rsidRPr="00D96F17">
              <w:rPr>
                <w:sz w:val="24"/>
                <w:szCs w:val="24"/>
              </w:rPr>
              <w:t xml:space="preserve"> </w:t>
            </w:r>
            <w:proofErr w:type="spellStart"/>
            <w:r w:rsidR="00E13F46" w:rsidRPr="00D96F17">
              <w:rPr>
                <w:sz w:val="24"/>
                <w:szCs w:val="24"/>
              </w:rPr>
              <w:t>öngörülen</w:t>
            </w:r>
            <w:proofErr w:type="spellEnd"/>
            <w:r w:rsidR="00E13F46" w:rsidRPr="00D96F17">
              <w:rPr>
                <w:sz w:val="24"/>
                <w:szCs w:val="24"/>
              </w:rPr>
              <w:t xml:space="preserve"> </w:t>
            </w:r>
            <w:proofErr w:type="spellStart"/>
            <w:r w:rsidRPr="00D96F17">
              <w:rPr>
                <w:sz w:val="24"/>
                <w:szCs w:val="24"/>
              </w:rPr>
              <w:t>Kişisel</w:t>
            </w:r>
            <w:proofErr w:type="spellEnd"/>
            <w:r w:rsidRPr="00D96F17">
              <w:rPr>
                <w:sz w:val="24"/>
                <w:szCs w:val="24"/>
              </w:rPr>
              <w:t xml:space="preserve"> </w:t>
            </w:r>
            <w:proofErr w:type="spellStart"/>
            <w:r w:rsidRPr="00D96F17">
              <w:rPr>
                <w:sz w:val="24"/>
                <w:szCs w:val="24"/>
              </w:rPr>
              <w:t>Ödenek</w:t>
            </w:r>
            <w:proofErr w:type="spellEnd"/>
            <w:r w:rsidRPr="00D96F17">
              <w:rPr>
                <w:sz w:val="24"/>
                <w:szCs w:val="24"/>
              </w:rPr>
              <w:t xml:space="preserve"> </w:t>
            </w:r>
            <w:proofErr w:type="spellStart"/>
            <w:r w:rsidRPr="00D96F17">
              <w:rPr>
                <w:sz w:val="24"/>
                <w:szCs w:val="24"/>
              </w:rPr>
              <w:t>ve</w:t>
            </w:r>
            <w:proofErr w:type="spellEnd"/>
            <w:r w:rsidRPr="00D96F17">
              <w:rPr>
                <w:sz w:val="24"/>
                <w:szCs w:val="24"/>
              </w:rPr>
              <w:t xml:space="preserve"> </w:t>
            </w:r>
            <w:proofErr w:type="spellStart"/>
            <w:r w:rsidRPr="00D96F17">
              <w:rPr>
                <w:sz w:val="24"/>
                <w:szCs w:val="24"/>
              </w:rPr>
              <w:t>Ö</w:t>
            </w:r>
            <w:r w:rsidR="00E13F46" w:rsidRPr="00D96F17">
              <w:rPr>
                <w:sz w:val="24"/>
                <w:szCs w:val="24"/>
              </w:rPr>
              <w:t>zel</w:t>
            </w:r>
            <w:proofErr w:type="spellEnd"/>
            <w:r w:rsidR="00E13F46" w:rsidRPr="00D96F17">
              <w:rPr>
                <w:sz w:val="24"/>
                <w:szCs w:val="24"/>
              </w:rPr>
              <w:t xml:space="preserve"> </w:t>
            </w:r>
            <w:proofErr w:type="spellStart"/>
            <w:r w:rsidRPr="00D96F17">
              <w:rPr>
                <w:sz w:val="24"/>
                <w:szCs w:val="24"/>
              </w:rPr>
              <w:t>T</w:t>
            </w:r>
            <w:r w:rsidR="00E13F46" w:rsidRPr="00D96F17">
              <w:rPr>
                <w:sz w:val="24"/>
                <w:szCs w:val="24"/>
              </w:rPr>
              <w:t>ahsisat</w:t>
            </w:r>
            <w:proofErr w:type="spellEnd"/>
            <w:r w:rsidR="00E13F46" w:rsidRPr="00D96F17">
              <w:rPr>
                <w:sz w:val="24"/>
                <w:szCs w:val="24"/>
              </w:rPr>
              <w:t xml:space="preserve"> alma </w:t>
            </w:r>
            <w:proofErr w:type="spellStart"/>
            <w:r w:rsidR="00E13F46" w:rsidRPr="00D96F17">
              <w:rPr>
                <w:sz w:val="24"/>
                <w:szCs w:val="24"/>
              </w:rPr>
              <w:t>hakkından</w:t>
            </w:r>
            <w:proofErr w:type="spellEnd"/>
            <w:r w:rsidR="00E13F46" w:rsidRPr="00D96F17">
              <w:rPr>
                <w:sz w:val="24"/>
                <w:szCs w:val="24"/>
              </w:rPr>
              <w:t xml:space="preserve"> </w:t>
            </w:r>
            <w:proofErr w:type="spellStart"/>
            <w:r w:rsidR="00E13F46" w:rsidRPr="00D96F17">
              <w:rPr>
                <w:sz w:val="24"/>
                <w:szCs w:val="24"/>
              </w:rPr>
              <w:t>yararlanamaz</w:t>
            </w:r>
            <w:proofErr w:type="spellEnd"/>
            <w:r w:rsidR="00E13F46" w:rsidRPr="00D96F17">
              <w:rPr>
                <w:sz w:val="24"/>
                <w:szCs w:val="24"/>
              </w:rPr>
              <w:t>.</w:t>
            </w:r>
          </w:p>
        </w:tc>
      </w:tr>
      <w:tr w:rsidR="00E13F46" w:rsidRPr="00D96F17" w:rsidTr="00E55D06">
        <w:tc>
          <w:tcPr>
            <w:tcW w:w="1576" w:type="dxa"/>
          </w:tcPr>
          <w:p w:rsidR="00E13F46" w:rsidRPr="00D96F17" w:rsidRDefault="00E13F46" w:rsidP="00D96F17"/>
        </w:tc>
        <w:tc>
          <w:tcPr>
            <w:tcW w:w="236" w:type="dxa"/>
          </w:tcPr>
          <w:p w:rsidR="00E13F46" w:rsidRPr="00D96F17" w:rsidRDefault="00E13F46" w:rsidP="00D96F17">
            <w:pPr>
              <w:jc w:val="both"/>
            </w:pPr>
          </w:p>
        </w:tc>
        <w:tc>
          <w:tcPr>
            <w:tcW w:w="2124" w:type="dxa"/>
            <w:gridSpan w:val="3"/>
          </w:tcPr>
          <w:p w:rsidR="00C94F8D" w:rsidRPr="00D96F17" w:rsidRDefault="00C94F8D" w:rsidP="00D96F17">
            <w:r w:rsidRPr="00D96F17">
              <w:t>73/2007</w:t>
            </w:r>
          </w:p>
          <w:p w:rsidR="00C94F8D" w:rsidRPr="00D96F17" w:rsidRDefault="00C94F8D" w:rsidP="00D96F17">
            <w:r w:rsidRPr="00D96F17">
              <w:t xml:space="preserve">     80/2009</w:t>
            </w:r>
          </w:p>
          <w:p w:rsidR="00C94F8D" w:rsidRPr="00D96F17" w:rsidRDefault="00C94F8D" w:rsidP="00D96F17">
            <w:r w:rsidRPr="00D96F17">
              <w:t xml:space="preserve">       4/2010</w:t>
            </w:r>
          </w:p>
          <w:p w:rsidR="00C94F8D" w:rsidRPr="00D96F17" w:rsidRDefault="00C94F8D" w:rsidP="00D96F17">
            <w:r w:rsidRPr="00D96F17">
              <w:t xml:space="preserve">       5/2012</w:t>
            </w:r>
          </w:p>
          <w:p w:rsidR="00C94F8D" w:rsidRPr="00D96F17" w:rsidRDefault="00C94F8D" w:rsidP="00D96F17">
            <w:r w:rsidRPr="00D96F17">
              <w:t xml:space="preserve">     26/2013</w:t>
            </w:r>
          </w:p>
          <w:p w:rsidR="00C94F8D" w:rsidRPr="00D96F17" w:rsidRDefault="00C94F8D" w:rsidP="00D96F17">
            <w:r w:rsidRPr="00D96F17">
              <w:t xml:space="preserve">     36/2015</w:t>
            </w:r>
          </w:p>
        </w:tc>
        <w:tc>
          <w:tcPr>
            <w:tcW w:w="567" w:type="dxa"/>
          </w:tcPr>
          <w:p w:rsidR="00E13F46" w:rsidRPr="00D96F17" w:rsidRDefault="00E13F46" w:rsidP="00D96F17">
            <w:pPr>
              <w:jc w:val="both"/>
            </w:pPr>
          </w:p>
        </w:tc>
        <w:tc>
          <w:tcPr>
            <w:tcW w:w="567" w:type="dxa"/>
            <w:gridSpan w:val="2"/>
          </w:tcPr>
          <w:p w:rsidR="00E13F46" w:rsidRPr="00D96F17" w:rsidRDefault="00E13F46" w:rsidP="00D96F17">
            <w:pPr>
              <w:jc w:val="both"/>
            </w:pPr>
            <w:r w:rsidRPr="00D96F17">
              <w:t>(3)</w:t>
            </w:r>
          </w:p>
        </w:tc>
        <w:tc>
          <w:tcPr>
            <w:tcW w:w="4192" w:type="dxa"/>
          </w:tcPr>
          <w:p w:rsidR="00E13F46" w:rsidRPr="00D96F17" w:rsidRDefault="00E13F46" w:rsidP="0061117B">
            <w:pPr>
              <w:jc w:val="both"/>
            </w:pPr>
            <w:r w:rsidRPr="00D96F17">
              <w:t xml:space="preserve">Bu Yasa ve Sosyal Güvenlik Yasası kurallarına tabi olan hekimlere hizmetlerin özelliği dikkate alınarak maaşlarına </w:t>
            </w:r>
            <w:r w:rsidR="00B0452A">
              <w:t xml:space="preserve">ek olarak </w:t>
            </w:r>
            <w:r w:rsidRPr="00D96F17">
              <w:t>Görev Ödeneği verilir. Bu ödenek emeklilik amaçları bakımından dikkate alınmaz.</w:t>
            </w:r>
          </w:p>
        </w:tc>
      </w:tr>
      <w:tr w:rsidR="00E13F46" w:rsidRPr="00D96F17" w:rsidTr="00E55D06">
        <w:tc>
          <w:tcPr>
            <w:tcW w:w="1576" w:type="dxa"/>
          </w:tcPr>
          <w:p w:rsidR="00E13F46" w:rsidRPr="00D96F17" w:rsidRDefault="00E13F46" w:rsidP="00D96F17"/>
        </w:tc>
        <w:tc>
          <w:tcPr>
            <w:tcW w:w="236" w:type="dxa"/>
          </w:tcPr>
          <w:p w:rsidR="00E13F46" w:rsidRPr="00D96F17" w:rsidRDefault="00E13F46" w:rsidP="00D96F17">
            <w:pPr>
              <w:jc w:val="both"/>
            </w:pPr>
          </w:p>
        </w:tc>
        <w:tc>
          <w:tcPr>
            <w:tcW w:w="2124" w:type="dxa"/>
            <w:gridSpan w:val="3"/>
          </w:tcPr>
          <w:p w:rsidR="00E13F46" w:rsidRPr="00D96F17" w:rsidRDefault="00C635EF" w:rsidP="00D96F17">
            <w:pPr>
              <w:jc w:val="both"/>
            </w:pPr>
            <w:r w:rsidRPr="00D96F17">
              <w:t xml:space="preserve">     31/2017</w:t>
            </w:r>
          </w:p>
        </w:tc>
        <w:tc>
          <w:tcPr>
            <w:tcW w:w="567" w:type="dxa"/>
          </w:tcPr>
          <w:p w:rsidR="00E13F46" w:rsidRPr="00D96F17" w:rsidRDefault="00E13F46" w:rsidP="00D96F17">
            <w:pPr>
              <w:jc w:val="both"/>
            </w:pPr>
          </w:p>
        </w:tc>
        <w:tc>
          <w:tcPr>
            <w:tcW w:w="567" w:type="dxa"/>
            <w:gridSpan w:val="2"/>
          </w:tcPr>
          <w:p w:rsidR="00E13F46" w:rsidRPr="00D96F17" w:rsidRDefault="00E13F46" w:rsidP="00D96F17">
            <w:pPr>
              <w:jc w:val="both"/>
            </w:pPr>
          </w:p>
        </w:tc>
        <w:tc>
          <w:tcPr>
            <w:tcW w:w="4192" w:type="dxa"/>
          </w:tcPr>
          <w:p w:rsidR="00E13F46" w:rsidRPr="00D96F17" w:rsidRDefault="00E13F46" w:rsidP="00D96F17">
            <w:pPr>
              <w:jc w:val="both"/>
            </w:pPr>
            <w:r w:rsidRPr="00D96F17">
              <w:tab/>
              <w:t xml:space="preserve">Ancak Kamu Çalışanlarının Aylık (Maaş-Ücret) ve Diğer Ödeneklerinin Düzenlenmesi Yasası tahtında istihdam edilen hekimler ile Yataklı Tedavi Kurumları Dairesi (Kuruluş, Görev ve Çalışma Esasları) Yasasına tabi olarak çalışan asistan hekimler bu maddede öngörülen </w:t>
            </w:r>
            <w:r w:rsidR="00C635EF" w:rsidRPr="00D96F17">
              <w:t>G</w:t>
            </w:r>
            <w:r w:rsidRPr="00D96F17">
              <w:t xml:space="preserve">örev </w:t>
            </w:r>
            <w:r w:rsidR="00C635EF" w:rsidRPr="00D96F17">
              <w:t>Ö</w:t>
            </w:r>
            <w:r w:rsidRPr="00D96F17">
              <w:t>deneği hakkından yararlanamaz.”</w:t>
            </w:r>
          </w:p>
        </w:tc>
      </w:tr>
      <w:tr w:rsidR="00E13F46" w:rsidRPr="00D96F17" w:rsidTr="00183903">
        <w:tc>
          <w:tcPr>
            <w:tcW w:w="1576" w:type="dxa"/>
          </w:tcPr>
          <w:p w:rsidR="00E13F46" w:rsidRPr="00D96F17" w:rsidRDefault="00E13F46" w:rsidP="00D96F17"/>
        </w:tc>
        <w:tc>
          <w:tcPr>
            <w:tcW w:w="236" w:type="dxa"/>
          </w:tcPr>
          <w:p w:rsidR="00E13F46" w:rsidRPr="00D96F17" w:rsidRDefault="00E13F46" w:rsidP="00D96F17">
            <w:pPr>
              <w:jc w:val="both"/>
            </w:pPr>
          </w:p>
        </w:tc>
        <w:tc>
          <w:tcPr>
            <w:tcW w:w="2124" w:type="dxa"/>
            <w:gridSpan w:val="3"/>
          </w:tcPr>
          <w:p w:rsidR="00E13F46" w:rsidRPr="00D96F17" w:rsidRDefault="00E13F46" w:rsidP="00D96F17">
            <w:pPr>
              <w:jc w:val="both"/>
            </w:pPr>
          </w:p>
        </w:tc>
        <w:tc>
          <w:tcPr>
            <w:tcW w:w="1134" w:type="dxa"/>
            <w:gridSpan w:val="3"/>
          </w:tcPr>
          <w:p w:rsidR="00E13F46" w:rsidRPr="00D96F17" w:rsidRDefault="00E13F46" w:rsidP="00D96F17">
            <w:pPr>
              <w:jc w:val="both"/>
            </w:pPr>
          </w:p>
        </w:tc>
        <w:tc>
          <w:tcPr>
            <w:tcW w:w="4192" w:type="dxa"/>
          </w:tcPr>
          <w:p w:rsidR="00E13F46" w:rsidRPr="00D96F17" w:rsidRDefault="00E13F46" w:rsidP="00D96F17">
            <w:pPr>
              <w:jc w:val="both"/>
            </w:pPr>
          </w:p>
        </w:tc>
      </w:tr>
      <w:tr w:rsidR="00E13F46" w:rsidRPr="00D96F17" w:rsidTr="00DC20BF">
        <w:tc>
          <w:tcPr>
            <w:tcW w:w="1576" w:type="dxa"/>
          </w:tcPr>
          <w:p w:rsidR="00E13F46" w:rsidRPr="00D96F17" w:rsidRDefault="00E13F46" w:rsidP="00D96F17">
            <w:r w:rsidRPr="00D96F17">
              <w:t>Geçici Madde</w:t>
            </w:r>
          </w:p>
          <w:p w:rsidR="00E13F46" w:rsidRPr="00D96F17" w:rsidRDefault="00E13F46" w:rsidP="00D96F17">
            <w:r w:rsidRPr="00D96F17">
              <w:t>Tercih Hakkına İlişkin Kurallar</w:t>
            </w:r>
          </w:p>
        </w:tc>
        <w:tc>
          <w:tcPr>
            <w:tcW w:w="7686" w:type="dxa"/>
            <w:gridSpan w:val="8"/>
          </w:tcPr>
          <w:p w:rsidR="00E13F46" w:rsidRPr="00D96F17" w:rsidRDefault="00E13F46" w:rsidP="00D96F17">
            <w:pPr>
              <w:jc w:val="both"/>
            </w:pPr>
            <w:r w:rsidRPr="00D96F17">
              <w:t xml:space="preserve">1. 1 Ocak 2011 tarihinden önce istihdam edilen hekimler, bu (Değişiklik) Yasasının yürürlüğe girdiği tarihten başlayarak otuz gün içinde, Maliye işleriyle Görevli Bakanlığa yazılı olarak başvurmak suretiyle bu maddede öngörülen tercih hakkını kullanabilir. Öngörülen süre içerisinde tercih hakkını kullanmayan hekim, bu maddenin (1)’inci fıkrasında belirtilenleri tercih etmiş sayılır. </w:t>
            </w:r>
          </w:p>
        </w:tc>
      </w:tr>
      <w:tr w:rsidR="00E13F46" w:rsidRPr="00D96F17" w:rsidTr="00DC20BF">
        <w:tc>
          <w:tcPr>
            <w:tcW w:w="1576" w:type="dxa"/>
          </w:tcPr>
          <w:p w:rsidR="00E13F46" w:rsidRPr="00D96F17" w:rsidRDefault="00E13F46" w:rsidP="00D96F17"/>
        </w:tc>
        <w:tc>
          <w:tcPr>
            <w:tcW w:w="709" w:type="dxa"/>
            <w:gridSpan w:val="2"/>
          </w:tcPr>
          <w:p w:rsidR="00E13F46" w:rsidRPr="00D96F17" w:rsidRDefault="00E13F46" w:rsidP="00D96F17">
            <w:r w:rsidRPr="00D96F17">
              <w:t>(1)</w:t>
            </w:r>
          </w:p>
        </w:tc>
        <w:tc>
          <w:tcPr>
            <w:tcW w:w="6977" w:type="dxa"/>
            <w:gridSpan w:val="6"/>
          </w:tcPr>
          <w:p w:rsidR="00E13F46" w:rsidRPr="00D96F17" w:rsidRDefault="00E13F46" w:rsidP="00D96F17">
            <w:pPr>
              <w:jc w:val="both"/>
            </w:pPr>
            <w:r w:rsidRPr="00D96F17">
              <w:t>Hekimler, bu Yasanın 38’inci madde</w:t>
            </w:r>
            <w:r w:rsidR="00547A40" w:rsidRPr="00D96F17">
              <w:t xml:space="preserve">sinin (1)’inci fıkrasının </w:t>
            </w:r>
            <w:r w:rsidRPr="00D96F17">
              <w:t>aynen uygulanmasını tercih edebilirler.</w:t>
            </w:r>
          </w:p>
        </w:tc>
      </w:tr>
      <w:tr w:rsidR="00E13F46" w:rsidRPr="00D96F17" w:rsidTr="00DC20BF">
        <w:tc>
          <w:tcPr>
            <w:tcW w:w="1576" w:type="dxa"/>
          </w:tcPr>
          <w:p w:rsidR="00E13F46" w:rsidRPr="00D96F17" w:rsidRDefault="00E13F46" w:rsidP="00D96F17"/>
        </w:tc>
        <w:tc>
          <w:tcPr>
            <w:tcW w:w="709" w:type="dxa"/>
            <w:gridSpan w:val="2"/>
          </w:tcPr>
          <w:p w:rsidR="00E13F46" w:rsidRPr="00D96F17" w:rsidRDefault="00E13F46" w:rsidP="00D96F17">
            <w:r w:rsidRPr="00D96F17">
              <w:t>(2)</w:t>
            </w:r>
          </w:p>
        </w:tc>
        <w:tc>
          <w:tcPr>
            <w:tcW w:w="6977" w:type="dxa"/>
            <w:gridSpan w:val="6"/>
          </w:tcPr>
          <w:p w:rsidR="00E13F46" w:rsidRPr="00D96F17" w:rsidRDefault="00E13F46" w:rsidP="00D96F17">
            <w:pPr>
              <w:jc w:val="both"/>
            </w:pPr>
            <w:r w:rsidRPr="00D96F17">
              <w:t xml:space="preserve">Hekimler, bu Yasanın 38’inci </w:t>
            </w:r>
            <w:r w:rsidR="006F7797" w:rsidRPr="00D96F17">
              <w:t xml:space="preserve">maddesinin (1)’inci ve (3)’üncü fıkralarında öngörülen ödeneklerin </w:t>
            </w:r>
            <w:r w:rsidRPr="00D96F17">
              <w:t>aşağıda</w:t>
            </w:r>
            <w:r w:rsidR="006F7797" w:rsidRPr="00D96F17">
              <w:t>ki</w:t>
            </w:r>
            <w:r w:rsidRPr="00D96F17">
              <w:t xml:space="preserve"> şekilde kademeli olarak uygulanmasını tercih edebilirler:</w:t>
            </w:r>
          </w:p>
        </w:tc>
      </w:tr>
      <w:tr w:rsidR="00E13F46" w:rsidRPr="00D96F17" w:rsidTr="00DC20BF">
        <w:tc>
          <w:tcPr>
            <w:tcW w:w="1576" w:type="dxa"/>
          </w:tcPr>
          <w:p w:rsidR="00E13F46" w:rsidRPr="00D96F17" w:rsidRDefault="00E13F46" w:rsidP="00D96F17"/>
        </w:tc>
        <w:tc>
          <w:tcPr>
            <w:tcW w:w="709" w:type="dxa"/>
            <w:gridSpan w:val="2"/>
          </w:tcPr>
          <w:p w:rsidR="00E13F46" w:rsidRPr="00D96F17" w:rsidRDefault="00E13F46" w:rsidP="00D96F17"/>
        </w:tc>
        <w:tc>
          <w:tcPr>
            <w:tcW w:w="658" w:type="dxa"/>
          </w:tcPr>
          <w:p w:rsidR="00E13F46" w:rsidRPr="00D96F17" w:rsidRDefault="00E13F46" w:rsidP="00D96F17">
            <w:r w:rsidRPr="00D96F17">
              <w:t>(A)</w:t>
            </w:r>
          </w:p>
        </w:tc>
        <w:tc>
          <w:tcPr>
            <w:tcW w:w="6319" w:type="dxa"/>
            <w:gridSpan w:val="5"/>
          </w:tcPr>
          <w:p w:rsidR="00E13F46" w:rsidRPr="00D96F17" w:rsidRDefault="00E13F46" w:rsidP="0061117B">
            <w:pPr>
              <w:jc w:val="both"/>
            </w:pPr>
            <w:r w:rsidRPr="00D96F17">
              <w:t xml:space="preserve">1 Ocak 2017 – 31 Aralık 2021 tarihleri arasında, hekimlere maaşlarına </w:t>
            </w:r>
            <w:r w:rsidR="00C635EF" w:rsidRPr="00D96F17">
              <w:t>ek olarak</w:t>
            </w:r>
            <w:r w:rsidRPr="00D96F17">
              <w:t xml:space="preserve"> maaşlarının %</w:t>
            </w:r>
            <w:proofErr w:type="gramStart"/>
            <w:r w:rsidRPr="00D96F17">
              <w:t>15.8’i</w:t>
            </w:r>
            <w:proofErr w:type="gramEnd"/>
            <w:r w:rsidRPr="00D96F17">
              <w:t xml:space="preserve"> oranında Görev Ödeneği</w:t>
            </w:r>
            <w:r w:rsidR="000454C6" w:rsidRPr="00D96F17">
              <w:t xml:space="preserve"> verilir ve</w:t>
            </w:r>
            <w:r w:rsidRPr="00D96F17">
              <w:t xml:space="preserve"> bu Yasanın 38’inci maddesin</w:t>
            </w:r>
            <w:r w:rsidR="000454C6" w:rsidRPr="00D96F17">
              <w:t>in (1)’inci fıkrasında öngörülen</w:t>
            </w:r>
            <w:r w:rsidRPr="00D96F17">
              <w:t xml:space="preserve"> </w:t>
            </w:r>
            <w:r w:rsidR="00C635EF" w:rsidRPr="00D96F17">
              <w:t>K</w:t>
            </w:r>
            <w:r w:rsidRPr="00D96F17">
              <w:t xml:space="preserve">işisel </w:t>
            </w:r>
            <w:r w:rsidR="00C635EF" w:rsidRPr="00D96F17">
              <w:t>Ö</w:t>
            </w:r>
            <w:r w:rsidRPr="00D96F17">
              <w:t xml:space="preserve">denek aynen </w:t>
            </w:r>
            <w:r w:rsidR="000454C6" w:rsidRPr="00D96F17">
              <w:t>uygulanır.</w:t>
            </w:r>
          </w:p>
        </w:tc>
      </w:tr>
      <w:tr w:rsidR="00E13F46" w:rsidRPr="00D96F17" w:rsidTr="00DC20BF">
        <w:tc>
          <w:tcPr>
            <w:tcW w:w="1576" w:type="dxa"/>
          </w:tcPr>
          <w:p w:rsidR="00E13F46" w:rsidRPr="00D96F17" w:rsidRDefault="00E13F46" w:rsidP="00D96F17"/>
        </w:tc>
        <w:tc>
          <w:tcPr>
            <w:tcW w:w="709" w:type="dxa"/>
            <w:gridSpan w:val="2"/>
          </w:tcPr>
          <w:p w:rsidR="00E13F46" w:rsidRPr="00D96F17" w:rsidRDefault="00E13F46" w:rsidP="00D96F17"/>
        </w:tc>
        <w:tc>
          <w:tcPr>
            <w:tcW w:w="658" w:type="dxa"/>
          </w:tcPr>
          <w:p w:rsidR="00E13F46" w:rsidRPr="00D96F17" w:rsidRDefault="00E13F46" w:rsidP="00D96F17">
            <w:r w:rsidRPr="00D96F17">
              <w:t>(B)</w:t>
            </w:r>
          </w:p>
        </w:tc>
        <w:tc>
          <w:tcPr>
            <w:tcW w:w="6319" w:type="dxa"/>
            <w:gridSpan w:val="5"/>
          </w:tcPr>
          <w:p w:rsidR="00E13F46" w:rsidRPr="00D96F17" w:rsidRDefault="00E13F46" w:rsidP="0061117B">
            <w:pPr>
              <w:jc w:val="both"/>
            </w:pPr>
            <w:r w:rsidRPr="00D96F17">
              <w:t xml:space="preserve">1 Ocak 2022 – 31 Aralık 2026 tarihleri arasında, hekimlere maaşlarına </w:t>
            </w:r>
            <w:r w:rsidR="00C635EF" w:rsidRPr="00D96F17">
              <w:t>ek olarak</w:t>
            </w:r>
            <w:r w:rsidRPr="00D96F17">
              <w:t xml:space="preserve"> maaşlarının %</w:t>
            </w:r>
            <w:proofErr w:type="gramStart"/>
            <w:r w:rsidRPr="00D96F17">
              <w:t>18.3’ü</w:t>
            </w:r>
            <w:proofErr w:type="gramEnd"/>
            <w:r w:rsidRPr="00D96F17">
              <w:t xml:space="preserve"> oranında Görev Ödeneği </w:t>
            </w:r>
            <w:r w:rsidR="000454C6" w:rsidRPr="00D96F17">
              <w:t xml:space="preserve">verilir </w:t>
            </w:r>
            <w:r w:rsidRPr="00D96F17">
              <w:t xml:space="preserve">ve bu Yasanın 38’inci </w:t>
            </w:r>
            <w:r w:rsidR="000454C6" w:rsidRPr="00D96F17">
              <w:t xml:space="preserve">maddesinin (1)’inci fıkrasında öngörülen </w:t>
            </w:r>
            <w:r w:rsidR="00C635EF" w:rsidRPr="00D96F17">
              <w:t>K</w:t>
            </w:r>
            <w:r w:rsidRPr="00D96F17">
              <w:t xml:space="preserve">işisel </w:t>
            </w:r>
            <w:r w:rsidR="00C635EF" w:rsidRPr="00D96F17">
              <w:t>Ö</w:t>
            </w:r>
            <w:r w:rsidRPr="00D96F17">
              <w:t>denek</w:t>
            </w:r>
            <w:r w:rsidR="00D12322" w:rsidRPr="00D96F17">
              <w:t xml:space="preserve"> oranı </w:t>
            </w:r>
            <w:r w:rsidRPr="00D96F17">
              <w:t>%7.5 olarak uygulanır.</w:t>
            </w:r>
          </w:p>
        </w:tc>
      </w:tr>
      <w:tr w:rsidR="00E13F46" w:rsidRPr="00D96F17" w:rsidTr="00DC20BF">
        <w:tc>
          <w:tcPr>
            <w:tcW w:w="1576" w:type="dxa"/>
          </w:tcPr>
          <w:p w:rsidR="00E13F46" w:rsidRPr="00D96F17" w:rsidRDefault="00E13F46" w:rsidP="00D96F17"/>
        </w:tc>
        <w:tc>
          <w:tcPr>
            <w:tcW w:w="709" w:type="dxa"/>
            <w:gridSpan w:val="2"/>
          </w:tcPr>
          <w:p w:rsidR="00E13F46" w:rsidRPr="00D96F17" w:rsidRDefault="00E13F46" w:rsidP="00D96F17"/>
        </w:tc>
        <w:tc>
          <w:tcPr>
            <w:tcW w:w="658" w:type="dxa"/>
          </w:tcPr>
          <w:p w:rsidR="00E13F46" w:rsidRPr="00D96F17" w:rsidRDefault="00E13F46" w:rsidP="00D96F17">
            <w:r w:rsidRPr="00D96F17">
              <w:t>(C)</w:t>
            </w:r>
          </w:p>
        </w:tc>
        <w:tc>
          <w:tcPr>
            <w:tcW w:w="6319" w:type="dxa"/>
            <w:gridSpan w:val="5"/>
          </w:tcPr>
          <w:p w:rsidR="00E13F46" w:rsidRPr="00D96F17" w:rsidRDefault="00E13F46" w:rsidP="0061117B">
            <w:pPr>
              <w:jc w:val="both"/>
            </w:pPr>
            <w:r w:rsidRPr="00D96F17">
              <w:t xml:space="preserve">1 Ocak 2027 – 31 Aralık 2031 tarihleri arasında, hekimlere maaşlarına </w:t>
            </w:r>
            <w:r w:rsidR="00C635EF" w:rsidRPr="00D96F17">
              <w:t>ek olarak</w:t>
            </w:r>
            <w:r w:rsidRPr="00D96F17">
              <w:t>, maaşlarının %</w:t>
            </w:r>
            <w:proofErr w:type="gramStart"/>
            <w:r w:rsidRPr="00D96F17">
              <w:t>20.8’i</w:t>
            </w:r>
            <w:proofErr w:type="gramEnd"/>
            <w:r w:rsidRPr="00D96F17">
              <w:t xml:space="preserve"> oranında Görev Ödeneği verilir ve bu Yasanın 38’inci </w:t>
            </w:r>
            <w:r w:rsidR="000454C6" w:rsidRPr="00D96F17">
              <w:t>maddesinin (1)’inci fıkrasında öngörülen</w:t>
            </w:r>
            <w:r w:rsidRPr="00D96F17">
              <w:t xml:space="preserve"> </w:t>
            </w:r>
            <w:r w:rsidR="00C635EF" w:rsidRPr="00D96F17">
              <w:t>K</w:t>
            </w:r>
            <w:r w:rsidRPr="00D96F17">
              <w:t xml:space="preserve">işisel </w:t>
            </w:r>
            <w:r w:rsidR="00C635EF" w:rsidRPr="00D96F17">
              <w:t>Ö</w:t>
            </w:r>
            <w:r w:rsidRPr="00D96F17">
              <w:t>denek</w:t>
            </w:r>
            <w:r w:rsidR="00D12322" w:rsidRPr="00D96F17">
              <w:t xml:space="preserve"> </w:t>
            </w:r>
            <w:r w:rsidRPr="00D96F17">
              <w:t>oranı %5 olarak uygulanır.</w:t>
            </w:r>
          </w:p>
        </w:tc>
      </w:tr>
      <w:tr w:rsidR="00E13F46" w:rsidRPr="00D96F17" w:rsidTr="00DC20BF">
        <w:tc>
          <w:tcPr>
            <w:tcW w:w="1576" w:type="dxa"/>
          </w:tcPr>
          <w:p w:rsidR="00E13F46" w:rsidRPr="00D96F17" w:rsidRDefault="00E13F46" w:rsidP="00D96F17"/>
        </w:tc>
        <w:tc>
          <w:tcPr>
            <w:tcW w:w="709" w:type="dxa"/>
            <w:gridSpan w:val="2"/>
          </w:tcPr>
          <w:p w:rsidR="00E13F46" w:rsidRPr="00D96F17" w:rsidRDefault="00E13F46" w:rsidP="00D96F17"/>
        </w:tc>
        <w:tc>
          <w:tcPr>
            <w:tcW w:w="658" w:type="dxa"/>
          </w:tcPr>
          <w:p w:rsidR="00E13F46" w:rsidRPr="00D96F17" w:rsidRDefault="00E13F46" w:rsidP="00D96F17">
            <w:r w:rsidRPr="00D96F17">
              <w:t>(Ç)</w:t>
            </w:r>
          </w:p>
        </w:tc>
        <w:tc>
          <w:tcPr>
            <w:tcW w:w="6319" w:type="dxa"/>
            <w:gridSpan w:val="5"/>
          </w:tcPr>
          <w:p w:rsidR="00E13F46" w:rsidRPr="00D96F17" w:rsidRDefault="00E13F46" w:rsidP="0061117B">
            <w:pPr>
              <w:jc w:val="both"/>
            </w:pPr>
            <w:r w:rsidRPr="00D96F17">
              <w:t xml:space="preserve">1 Ocak 2032 tarihinden itibaren hekimlere maaşlarına </w:t>
            </w:r>
            <w:r w:rsidR="00C635EF" w:rsidRPr="00D96F17">
              <w:t>ek olarak</w:t>
            </w:r>
            <w:r w:rsidRPr="00D96F17">
              <w:t xml:space="preserve"> maaşlarının %25.8’i oranında Görev Ödeneği verilir </w:t>
            </w:r>
            <w:r w:rsidR="00BD2738" w:rsidRPr="00D96F17">
              <w:t>ve</w:t>
            </w:r>
            <w:r w:rsidRPr="00D96F17">
              <w:t xml:space="preserve"> bu Yasanın 38’inci </w:t>
            </w:r>
            <w:r w:rsidR="00BD2738" w:rsidRPr="00D96F17">
              <w:t xml:space="preserve">(1)’inci fıkrasında öngörülen </w:t>
            </w:r>
            <w:r w:rsidR="00C635EF" w:rsidRPr="00D96F17">
              <w:t>Kişisel Ö</w:t>
            </w:r>
            <w:r w:rsidR="00BD2738" w:rsidRPr="00D96F17">
              <w:t xml:space="preserve">denek </w:t>
            </w:r>
            <w:r w:rsidR="00C635EF" w:rsidRPr="00D96F17">
              <w:t xml:space="preserve">oranı </w:t>
            </w:r>
            <w:r w:rsidRPr="00D96F17">
              <w:t>uygulanmaz.”</w:t>
            </w:r>
          </w:p>
        </w:tc>
      </w:tr>
      <w:tr w:rsidR="00C635EF" w:rsidRPr="00D96F17" w:rsidTr="00DC20BF">
        <w:tc>
          <w:tcPr>
            <w:tcW w:w="1576" w:type="dxa"/>
          </w:tcPr>
          <w:p w:rsidR="00C635EF" w:rsidRPr="00D96F17" w:rsidRDefault="00C635EF" w:rsidP="00D96F17"/>
        </w:tc>
        <w:tc>
          <w:tcPr>
            <w:tcW w:w="709" w:type="dxa"/>
            <w:gridSpan w:val="2"/>
          </w:tcPr>
          <w:p w:rsidR="00C635EF" w:rsidRPr="00D96F17" w:rsidRDefault="00C635EF" w:rsidP="00D96F17"/>
        </w:tc>
        <w:tc>
          <w:tcPr>
            <w:tcW w:w="6977" w:type="dxa"/>
            <w:gridSpan w:val="6"/>
          </w:tcPr>
          <w:p w:rsidR="00C635EF" w:rsidRPr="00D96F17" w:rsidRDefault="004D62CE" w:rsidP="00D96F17">
            <w:pPr>
              <w:jc w:val="both"/>
            </w:pPr>
            <w:r>
              <w:t xml:space="preserve">    </w:t>
            </w:r>
            <w:r w:rsidR="00C635EF" w:rsidRPr="00D96F17">
              <w:t>Ancak bu fıkra uyarınca verilen Görev Ödeneği emeklilik amaçları bakımından dikkate alınmaz.</w:t>
            </w:r>
          </w:p>
        </w:tc>
      </w:tr>
    </w:tbl>
    <w:p w:rsidR="00515B45" w:rsidRDefault="00515B45">
      <w:r>
        <w:br w:type="page"/>
      </w:r>
      <w:bookmarkStart w:id="0" w:name="_GoBack"/>
      <w:bookmarkEnd w:id="0"/>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283"/>
        <w:gridCol w:w="426"/>
        <w:gridCol w:w="1509"/>
        <w:gridCol w:w="850"/>
        <w:gridCol w:w="4618"/>
      </w:tblGrid>
      <w:tr w:rsidR="00E13F46" w:rsidRPr="00D96F17" w:rsidTr="00DC20BF">
        <w:tc>
          <w:tcPr>
            <w:tcW w:w="1576" w:type="dxa"/>
          </w:tcPr>
          <w:p w:rsidR="00E13F46" w:rsidRPr="00D96F17" w:rsidRDefault="00E13F46" w:rsidP="00D96F17">
            <w:pPr>
              <w:rPr>
                <w:noProof/>
              </w:rPr>
            </w:pPr>
          </w:p>
        </w:tc>
        <w:tc>
          <w:tcPr>
            <w:tcW w:w="283" w:type="dxa"/>
          </w:tcPr>
          <w:p w:rsidR="00E13F46" w:rsidRPr="00D96F17" w:rsidRDefault="00E13F46" w:rsidP="00D96F17"/>
        </w:tc>
        <w:tc>
          <w:tcPr>
            <w:tcW w:w="426" w:type="dxa"/>
          </w:tcPr>
          <w:p w:rsidR="00E13F46" w:rsidRPr="00D96F17" w:rsidRDefault="00E13F46" w:rsidP="00D96F17"/>
        </w:tc>
        <w:tc>
          <w:tcPr>
            <w:tcW w:w="1509" w:type="dxa"/>
          </w:tcPr>
          <w:p w:rsidR="00E13F46" w:rsidRPr="00D96F17" w:rsidRDefault="00E13F46" w:rsidP="00D96F17"/>
        </w:tc>
        <w:tc>
          <w:tcPr>
            <w:tcW w:w="850" w:type="dxa"/>
          </w:tcPr>
          <w:p w:rsidR="00E13F46" w:rsidRPr="00D96F17" w:rsidRDefault="00E13F46" w:rsidP="00D96F17"/>
        </w:tc>
        <w:tc>
          <w:tcPr>
            <w:tcW w:w="4618" w:type="dxa"/>
          </w:tcPr>
          <w:p w:rsidR="00E13F46" w:rsidRPr="00D96F17" w:rsidRDefault="00E13F46" w:rsidP="00D96F17">
            <w:pPr>
              <w:jc w:val="both"/>
            </w:pPr>
          </w:p>
        </w:tc>
      </w:tr>
      <w:tr w:rsidR="00DB1DE4" w:rsidRPr="00D96F17" w:rsidTr="00650995">
        <w:tc>
          <w:tcPr>
            <w:tcW w:w="1576" w:type="dxa"/>
          </w:tcPr>
          <w:p w:rsidR="00DB1DE4" w:rsidRPr="00D96F17" w:rsidRDefault="00DB1DE4" w:rsidP="00D96F17">
            <w:pPr>
              <w:rPr>
                <w:noProof/>
              </w:rPr>
            </w:pPr>
            <w:r w:rsidRPr="00D96F17">
              <w:rPr>
                <w:noProof/>
              </w:rPr>
              <w:t>Geçici Madde</w:t>
            </w:r>
          </w:p>
          <w:p w:rsidR="00DB1DE4" w:rsidRPr="00D96F17" w:rsidRDefault="00DB1DE4" w:rsidP="00D96F17">
            <w:pPr>
              <w:rPr>
                <w:noProof/>
              </w:rPr>
            </w:pPr>
            <w:r w:rsidRPr="00D96F17">
              <w:rPr>
                <w:noProof/>
              </w:rPr>
              <w:t xml:space="preserve">Mevzuat Uyarınca Başka Görevlerde Bulunan Hekimlere İlişkin Kurallar </w:t>
            </w:r>
          </w:p>
          <w:p w:rsidR="00DB1DE4" w:rsidRPr="00D96F17" w:rsidRDefault="00DB1DE4" w:rsidP="00D96F17">
            <w:pPr>
              <w:overflowPunct w:val="0"/>
              <w:autoSpaceDE w:val="0"/>
              <w:autoSpaceDN w:val="0"/>
              <w:adjustRightInd w:val="0"/>
              <w:jc w:val="both"/>
            </w:pPr>
            <w:r w:rsidRPr="00D96F17">
              <w:t>52/1987</w:t>
            </w:r>
          </w:p>
          <w:p w:rsidR="00DB1DE4" w:rsidRPr="00D96F17" w:rsidRDefault="00DB1DE4" w:rsidP="00D96F17">
            <w:r w:rsidRPr="00D96F17">
              <w:t xml:space="preserve">   33/1992</w:t>
            </w:r>
          </w:p>
          <w:p w:rsidR="00DB1DE4" w:rsidRPr="00D96F17" w:rsidRDefault="00DB1DE4" w:rsidP="00D96F17">
            <w:r w:rsidRPr="00D96F17">
              <w:t xml:space="preserve">   15/2002</w:t>
            </w:r>
          </w:p>
          <w:p w:rsidR="00DB1DE4" w:rsidRPr="00D96F17" w:rsidRDefault="00DB1DE4" w:rsidP="00D96F17"/>
          <w:p w:rsidR="00DB1DE4" w:rsidRPr="00D96F17" w:rsidRDefault="00DB1DE4" w:rsidP="00D96F17">
            <w:r w:rsidRPr="00D96F17">
              <w:t>5/1976</w:t>
            </w:r>
          </w:p>
          <w:p w:rsidR="00DB1DE4" w:rsidRPr="00D96F17" w:rsidRDefault="00DB1DE4" w:rsidP="00D96F17">
            <w:r w:rsidRPr="00D96F17">
              <w:t xml:space="preserve">   29/1977</w:t>
            </w:r>
          </w:p>
          <w:p w:rsidR="00DB1DE4" w:rsidRPr="00D96F17" w:rsidRDefault="00DB1DE4" w:rsidP="00D96F17">
            <w:r w:rsidRPr="00D96F17">
              <w:t xml:space="preserve">     1/1980</w:t>
            </w:r>
          </w:p>
          <w:p w:rsidR="00DB1DE4" w:rsidRPr="00D96F17" w:rsidRDefault="00DB1DE4" w:rsidP="00D96F17">
            <w:r w:rsidRPr="00D96F17">
              <w:t xml:space="preserve">     4/1980</w:t>
            </w:r>
          </w:p>
          <w:p w:rsidR="00DB1DE4" w:rsidRPr="00D96F17" w:rsidRDefault="00DB1DE4" w:rsidP="00D96F17">
            <w:r w:rsidRPr="00D96F17">
              <w:t xml:space="preserve">   12/1981</w:t>
            </w:r>
          </w:p>
          <w:p w:rsidR="00DB1DE4" w:rsidRPr="00D96F17" w:rsidRDefault="00DB1DE4" w:rsidP="00D96F17">
            <w:r w:rsidRPr="00D96F17">
              <w:t xml:space="preserve">   17/1985</w:t>
            </w:r>
          </w:p>
          <w:p w:rsidR="00DB1DE4" w:rsidRPr="00D96F17" w:rsidRDefault="00DB1DE4" w:rsidP="00D96F17">
            <w:r w:rsidRPr="00D96F17">
              <w:t xml:space="preserve">   19/1985</w:t>
            </w:r>
          </w:p>
          <w:p w:rsidR="00DB1DE4" w:rsidRPr="00D96F17" w:rsidRDefault="00DB1DE4" w:rsidP="00D96F17">
            <w:r w:rsidRPr="00D96F17">
              <w:t xml:space="preserve">   15/1986</w:t>
            </w:r>
          </w:p>
          <w:p w:rsidR="00DB1DE4" w:rsidRPr="00D96F17" w:rsidRDefault="00DB1DE4" w:rsidP="00D96F17">
            <w:r w:rsidRPr="00D96F17">
              <w:t xml:space="preserve">   16/1986</w:t>
            </w:r>
          </w:p>
          <w:p w:rsidR="00DB1DE4" w:rsidRPr="00D96F17" w:rsidRDefault="00DB1DE4" w:rsidP="00D96F17">
            <w:r w:rsidRPr="00D96F17">
              <w:t xml:space="preserve">   60/1988</w:t>
            </w:r>
          </w:p>
          <w:p w:rsidR="00DB1DE4" w:rsidRPr="00D96F17" w:rsidRDefault="00DB1DE4" w:rsidP="00D96F17">
            <w:r w:rsidRPr="00D96F17">
              <w:t xml:space="preserve">   17/1990</w:t>
            </w:r>
          </w:p>
          <w:p w:rsidR="00DB1DE4" w:rsidRPr="00D96F17" w:rsidRDefault="00DB1DE4" w:rsidP="00D96F17">
            <w:r w:rsidRPr="00D96F17">
              <w:t xml:space="preserve">   33/1990</w:t>
            </w:r>
          </w:p>
          <w:p w:rsidR="00DB1DE4" w:rsidRPr="00D96F17" w:rsidRDefault="00DB1DE4" w:rsidP="00D96F17">
            <w:r w:rsidRPr="00D96F17">
              <w:t xml:space="preserve">   52/1991</w:t>
            </w:r>
          </w:p>
          <w:p w:rsidR="00DB1DE4" w:rsidRPr="00D96F17" w:rsidRDefault="00DB1DE4" w:rsidP="00D96F17">
            <w:r w:rsidRPr="00D96F17">
              <w:t xml:space="preserve">   78/1991</w:t>
            </w:r>
          </w:p>
          <w:p w:rsidR="00DB1DE4" w:rsidRPr="00D96F17" w:rsidRDefault="00DB1DE4" w:rsidP="00D96F17">
            <w:r w:rsidRPr="00D96F17">
              <w:t xml:space="preserve">   46/1993</w:t>
            </w:r>
          </w:p>
          <w:p w:rsidR="00DB1DE4" w:rsidRPr="00D96F17" w:rsidRDefault="00DB1DE4" w:rsidP="00D96F17">
            <w:r w:rsidRPr="00D96F17">
              <w:t xml:space="preserve">   58/1993</w:t>
            </w:r>
          </w:p>
          <w:p w:rsidR="00DB1DE4" w:rsidRPr="00D96F17" w:rsidRDefault="00DB1DE4" w:rsidP="00D96F17">
            <w:r w:rsidRPr="00D96F17">
              <w:t xml:space="preserve">   59/1993</w:t>
            </w:r>
          </w:p>
          <w:p w:rsidR="00DB1DE4" w:rsidRPr="00D96F17" w:rsidRDefault="00DB1DE4" w:rsidP="00D96F17">
            <w:r w:rsidRPr="00D96F17">
              <w:t xml:space="preserve">     2/1994</w:t>
            </w:r>
          </w:p>
          <w:p w:rsidR="00DB1DE4" w:rsidRPr="00D96F17" w:rsidRDefault="00DB1DE4" w:rsidP="00D96F17">
            <w:r w:rsidRPr="00D96F17">
              <w:t xml:space="preserve">   12/1994</w:t>
            </w:r>
          </w:p>
          <w:p w:rsidR="00DB1DE4" w:rsidRPr="00D96F17" w:rsidRDefault="00DB1DE4" w:rsidP="00D96F17">
            <w:r w:rsidRPr="00D96F17">
              <w:t xml:space="preserve">   12/1998</w:t>
            </w:r>
          </w:p>
          <w:p w:rsidR="00DB1DE4" w:rsidRPr="00D96F17" w:rsidRDefault="00DB1DE4" w:rsidP="00D96F17">
            <w:r w:rsidRPr="00D96F17">
              <w:t xml:space="preserve">   48/1998</w:t>
            </w:r>
          </w:p>
          <w:p w:rsidR="00DB1DE4" w:rsidRPr="00D96F17" w:rsidRDefault="00DB1DE4" w:rsidP="00D96F17">
            <w:r w:rsidRPr="00D96F17">
              <w:t xml:space="preserve">   14/2002</w:t>
            </w:r>
          </w:p>
          <w:p w:rsidR="00DB1DE4" w:rsidRDefault="00DB1DE4" w:rsidP="00D96F17">
            <w:r w:rsidRPr="00D96F17">
              <w:t xml:space="preserve">   24/2010</w:t>
            </w:r>
          </w:p>
          <w:p w:rsidR="00DB1DE4" w:rsidRDefault="00912BAF" w:rsidP="00D96F17">
            <w:r>
              <w:t xml:space="preserve">   33/2016</w:t>
            </w:r>
          </w:p>
          <w:p w:rsidR="00912BAF" w:rsidRPr="00D96F17" w:rsidRDefault="00912BAF" w:rsidP="00D96F17"/>
          <w:p w:rsidR="00DB1DE4" w:rsidRPr="00D96F17" w:rsidRDefault="00912BAF" w:rsidP="00D96F17">
            <w:r>
              <w:t xml:space="preserve">  </w:t>
            </w:r>
            <w:r w:rsidR="00DB1DE4" w:rsidRPr="00D96F17">
              <w:t>53/1977</w:t>
            </w:r>
          </w:p>
          <w:p w:rsidR="00DB1DE4" w:rsidRPr="00D96F17" w:rsidRDefault="00DB1DE4" w:rsidP="00D96F17">
            <w:r w:rsidRPr="00D96F17">
              <w:t xml:space="preserve">    12/1980</w:t>
            </w:r>
          </w:p>
          <w:p w:rsidR="00DB1DE4" w:rsidRPr="00D96F17" w:rsidRDefault="00DB1DE4" w:rsidP="00D96F17">
            <w:pPr>
              <w:jc w:val="center"/>
            </w:pPr>
            <w:r w:rsidRPr="00D96F17">
              <w:t xml:space="preserve">  7/1981</w:t>
            </w:r>
          </w:p>
          <w:p w:rsidR="00DB1DE4" w:rsidRPr="00D96F17" w:rsidRDefault="00DB1DE4" w:rsidP="00D96F17">
            <w:r w:rsidRPr="00D96F17">
              <w:t xml:space="preserve">     51/1982</w:t>
            </w:r>
          </w:p>
          <w:p w:rsidR="00DB1DE4" w:rsidRPr="00D96F17" w:rsidRDefault="00DB1DE4" w:rsidP="00D96F17">
            <w:pPr>
              <w:jc w:val="center"/>
            </w:pPr>
            <w:r w:rsidRPr="00D96F17">
              <w:t>24/1983</w:t>
            </w:r>
          </w:p>
          <w:p w:rsidR="00DB1DE4" w:rsidRPr="00D96F17" w:rsidRDefault="00DB1DE4" w:rsidP="00D96F17">
            <w:pPr>
              <w:jc w:val="center"/>
            </w:pPr>
            <w:r w:rsidRPr="00D96F17">
              <w:t>43/1983</w:t>
            </w:r>
          </w:p>
          <w:p w:rsidR="00DB1DE4" w:rsidRPr="00D96F17" w:rsidRDefault="00DB1DE4" w:rsidP="00D96F17">
            <w:pPr>
              <w:jc w:val="center"/>
            </w:pPr>
            <w:r w:rsidRPr="00D96F17">
              <w:t xml:space="preserve">  2/1984</w:t>
            </w:r>
          </w:p>
          <w:p w:rsidR="00DB1DE4" w:rsidRPr="00D96F17" w:rsidRDefault="00DB1DE4" w:rsidP="00D96F17">
            <w:pPr>
              <w:jc w:val="center"/>
            </w:pPr>
            <w:r w:rsidRPr="00D96F17">
              <w:t>20/1986</w:t>
            </w:r>
          </w:p>
          <w:p w:rsidR="00DB1DE4" w:rsidRPr="00D96F17" w:rsidRDefault="00DB1DE4" w:rsidP="00D96F17">
            <w:pPr>
              <w:jc w:val="center"/>
            </w:pPr>
            <w:r w:rsidRPr="00D96F17">
              <w:t xml:space="preserve">  4/1987</w:t>
            </w:r>
          </w:p>
          <w:p w:rsidR="00DB1DE4" w:rsidRPr="00D96F17" w:rsidRDefault="00DB1DE4" w:rsidP="00D96F17">
            <w:pPr>
              <w:jc w:val="center"/>
            </w:pPr>
            <w:r w:rsidRPr="00D96F17">
              <w:t>49/1987</w:t>
            </w:r>
          </w:p>
          <w:p w:rsidR="00DB1DE4" w:rsidRPr="00D96F17" w:rsidRDefault="00DB1DE4" w:rsidP="00D96F17">
            <w:pPr>
              <w:jc w:val="center"/>
            </w:pPr>
            <w:r w:rsidRPr="00D96F17">
              <w:t>50/1987</w:t>
            </w:r>
          </w:p>
          <w:p w:rsidR="00DB1DE4" w:rsidRPr="00D96F17" w:rsidRDefault="00DB1DE4" w:rsidP="00D96F17">
            <w:pPr>
              <w:jc w:val="center"/>
            </w:pPr>
            <w:r w:rsidRPr="00D96F17">
              <w:t>33/1989</w:t>
            </w:r>
          </w:p>
          <w:p w:rsidR="00DB1DE4" w:rsidRPr="00D96F17" w:rsidRDefault="00DB1DE4" w:rsidP="00D96F17">
            <w:pPr>
              <w:jc w:val="center"/>
            </w:pPr>
            <w:r w:rsidRPr="00D96F17">
              <w:t>61/1989</w:t>
            </w:r>
          </w:p>
          <w:p w:rsidR="00DB1DE4" w:rsidRPr="00D96F17" w:rsidRDefault="00DB1DE4" w:rsidP="00D96F17">
            <w:pPr>
              <w:jc w:val="center"/>
            </w:pPr>
            <w:r w:rsidRPr="00D96F17">
              <w:lastRenderedPageBreak/>
              <w:t xml:space="preserve">  2/1990</w:t>
            </w:r>
          </w:p>
          <w:p w:rsidR="00DB1DE4" w:rsidRPr="00D96F17" w:rsidRDefault="00DB1DE4" w:rsidP="00D96F17">
            <w:pPr>
              <w:jc w:val="center"/>
            </w:pPr>
            <w:r w:rsidRPr="00D96F17">
              <w:t>41/1990</w:t>
            </w:r>
          </w:p>
          <w:p w:rsidR="00DB1DE4" w:rsidRPr="00D96F17" w:rsidRDefault="00DB1DE4" w:rsidP="00D96F17">
            <w:pPr>
              <w:jc w:val="center"/>
            </w:pPr>
            <w:r w:rsidRPr="00D96F17">
              <w:t>30/1991</w:t>
            </w:r>
          </w:p>
          <w:p w:rsidR="00DB1DE4" w:rsidRPr="00D96F17" w:rsidRDefault="00DB1DE4" w:rsidP="00D96F17">
            <w:pPr>
              <w:jc w:val="center"/>
            </w:pPr>
            <w:r w:rsidRPr="00D96F17">
              <w:t>31/1992</w:t>
            </w:r>
          </w:p>
          <w:p w:rsidR="00DB1DE4" w:rsidRPr="00D96F17" w:rsidRDefault="00DB1DE4" w:rsidP="00D96F17">
            <w:pPr>
              <w:jc w:val="center"/>
            </w:pPr>
            <w:r w:rsidRPr="00D96F17">
              <w:t>16/1994</w:t>
            </w:r>
          </w:p>
          <w:p w:rsidR="00DB1DE4" w:rsidRPr="00D96F17" w:rsidRDefault="00DB1DE4" w:rsidP="00D96F17">
            <w:pPr>
              <w:jc w:val="center"/>
            </w:pPr>
            <w:r w:rsidRPr="00D96F17">
              <w:t xml:space="preserve">  5/1995</w:t>
            </w:r>
          </w:p>
          <w:p w:rsidR="00DB1DE4" w:rsidRPr="00D96F17" w:rsidRDefault="00DB1DE4" w:rsidP="00D96F17">
            <w:pPr>
              <w:jc w:val="center"/>
            </w:pPr>
            <w:r w:rsidRPr="00D96F17">
              <w:t xml:space="preserve">  6/1998</w:t>
            </w:r>
          </w:p>
          <w:p w:rsidR="00DB1DE4" w:rsidRPr="00D96F17" w:rsidRDefault="00DB1DE4" w:rsidP="00D96F17">
            <w:pPr>
              <w:jc w:val="center"/>
            </w:pPr>
            <w:r w:rsidRPr="00D96F17">
              <w:t>21/1999</w:t>
            </w:r>
          </w:p>
          <w:p w:rsidR="00DB1DE4" w:rsidRPr="00D96F17" w:rsidRDefault="00DB1DE4" w:rsidP="00D96F17">
            <w:pPr>
              <w:jc w:val="both"/>
            </w:pPr>
            <w:r w:rsidRPr="00D96F17">
              <w:t xml:space="preserve">     19/2001</w:t>
            </w:r>
          </w:p>
          <w:p w:rsidR="00DB1DE4" w:rsidRPr="00D96F17" w:rsidRDefault="00DB1DE4" w:rsidP="00D96F17">
            <w:pPr>
              <w:jc w:val="both"/>
            </w:pPr>
            <w:r w:rsidRPr="00D96F17">
              <w:t xml:space="preserve">     23/2005</w:t>
            </w:r>
          </w:p>
          <w:p w:rsidR="00DB1DE4" w:rsidRPr="00D96F17" w:rsidRDefault="00DB1DE4" w:rsidP="00D96F17">
            <w:pPr>
              <w:jc w:val="both"/>
            </w:pPr>
            <w:r w:rsidRPr="00D96F17">
              <w:t xml:space="preserve">     22/2006</w:t>
            </w:r>
          </w:p>
          <w:p w:rsidR="00DB1DE4" w:rsidRPr="00D96F17" w:rsidRDefault="00DB1DE4" w:rsidP="00D96F17">
            <w:pPr>
              <w:jc w:val="both"/>
            </w:pPr>
            <w:r w:rsidRPr="00D96F17">
              <w:t xml:space="preserve">     66/2006</w:t>
            </w:r>
          </w:p>
          <w:p w:rsidR="00DB1DE4" w:rsidRPr="00D96F17" w:rsidRDefault="00DB1DE4" w:rsidP="00D96F17">
            <w:pPr>
              <w:jc w:val="both"/>
            </w:pPr>
            <w:r w:rsidRPr="00D96F17">
              <w:t xml:space="preserve">     75/2007</w:t>
            </w:r>
          </w:p>
          <w:p w:rsidR="00DB1DE4" w:rsidRPr="00D96F17" w:rsidRDefault="00DB1DE4" w:rsidP="00D96F17">
            <w:r w:rsidRPr="00D96F17">
              <w:t xml:space="preserve">       8/2010</w:t>
            </w:r>
          </w:p>
          <w:p w:rsidR="00DB1DE4" w:rsidRPr="00D96F17" w:rsidRDefault="00DB1DE4" w:rsidP="00D96F17">
            <w:pPr>
              <w:rPr>
                <w:noProof/>
              </w:rPr>
            </w:pPr>
            <w:r w:rsidRPr="00D96F17">
              <w:t xml:space="preserve">     25/2017</w:t>
            </w:r>
          </w:p>
        </w:tc>
        <w:tc>
          <w:tcPr>
            <w:tcW w:w="7686" w:type="dxa"/>
            <w:gridSpan w:val="5"/>
          </w:tcPr>
          <w:p w:rsidR="00DB1DE4" w:rsidRPr="00D96F17" w:rsidRDefault="00DB1DE4" w:rsidP="003A4034">
            <w:pPr>
              <w:jc w:val="both"/>
            </w:pPr>
            <w:proofErr w:type="gramStart"/>
            <w:r w:rsidRPr="00D96F17">
              <w:lastRenderedPageBreak/>
              <w:t>2. Bu (Değişiklik) Yasasın yürürlüğe girdiği tarihten sonra, Siyasal Kamu Görev</w:t>
            </w:r>
            <w:r w:rsidR="004D62CE">
              <w:t>lileri Yasasına tabi olan veya</w:t>
            </w:r>
            <w:r w:rsidRPr="00D96F17">
              <w:t xml:space="preserve"> Üst Kademe Yöneticileri Yasası uyarınca atanmış olan veya herhangi başka bir göreve atanmış veya görevlendirilmiş olan veya Seçim ve Halkoylaması Yasası veya ilgili mevzuat uyarınca seçilmiş olan hekim, görev süresi sona erdikten sonra kadro görevine geri dönmesi halinde, </w:t>
            </w:r>
            <w:r w:rsidR="006F54DE">
              <w:t>otuz gün</w:t>
            </w:r>
            <w:r w:rsidRPr="00D96F17">
              <w:t xml:space="preserve"> içinde tercih hakkını kullanabilir. </w:t>
            </w:r>
            <w:proofErr w:type="gramEnd"/>
            <w:r w:rsidRPr="00D96F17">
              <w:t>Öngörülen süre içerisinde tercih hakkını kullanmayan hekim, bu Yasanın 38’inci maddesinin (1)’inci fıkrasında belirtilenleri tercih etmiş sayılır.</w:t>
            </w:r>
          </w:p>
        </w:tc>
      </w:tr>
      <w:tr w:rsidR="00AC0F5F" w:rsidRPr="00D96F17" w:rsidTr="00DC20BF">
        <w:tc>
          <w:tcPr>
            <w:tcW w:w="1576" w:type="dxa"/>
          </w:tcPr>
          <w:p w:rsidR="00AC0F5F" w:rsidRPr="00D96F17" w:rsidRDefault="00AC0F5F" w:rsidP="00D96F17">
            <w:pPr>
              <w:rPr>
                <w:noProof/>
              </w:rPr>
            </w:pPr>
          </w:p>
        </w:tc>
        <w:tc>
          <w:tcPr>
            <w:tcW w:w="283" w:type="dxa"/>
          </w:tcPr>
          <w:p w:rsidR="00AC0F5F" w:rsidRPr="00D96F17" w:rsidRDefault="00AC0F5F" w:rsidP="00D96F17"/>
        </w:tc>
        <w:tc>
          <w:tcPr>
            <w:tcW w:w="426" w:type="dxa"/>
          </w:tcPr>
          <w:p w:rsidR="00AC0F5F" w:rsidRPr="00D96F17" w:rsidRDefault="00AC0F5F" w:rsidP="00D96F17"/>
        </w:tc>
        <w:tc>
          <w:tcPr>
            <w:tcW w:w="1509" w:type="dxa"/>
          </w:tcPr>
          <w:p w:rsidR="00AC0F5F" w:rsidRPr="00D96F17" w:rsidRDefault="00AC0F5F" w:rsidP="00D96F17"/>
        </w:tc>
        <w:tc>
          <w:tcPr>
            <w:tcW w:w="850" w:type="dxa"/>
          </w:tcPr>
          <w:p w:rsidR="00AC0F5F" w:rsidRPr="00D96F17" w:rsidRDefault="00AC0F5F" w:rsidP="00D96F17"/>
        </w:tc>
        <w:tc>
          <w:tcPr>
            <w:tcW w:w="4618" w:type="dxa"/>
          </w:tcPr>
          <w:p w:rsidR="00AC0F5F" w:rsidRPr="00D96F17" w:rsidRDefault="00AC0F5F" w:rsidP="00D96F17">
            <w:pPr>
              <w:jc w:val="both"/>
            </w:pPr>
          </w:p>
        </w:tc>
      </w:tr>
      <w:tr w:rsidR="00E13F46" w:rsidRPr="00D96F17" w:rsidTr="00DC20BF">
        <w:tc>
          <w:tcPr>
            <w:tcW w:w="1576" w:type="dxa"/>
          </w:tcPr>
          <w:p w:rsidR="00E13F46" w:rsidRPr="00D96F17" w:rsidRDefault="00E13F46" w:rsidP="00D96F17">
            <w:pPr>
              <w:rPr>
                <w:noProof/>
              </w:rPr>
            </w:pPr>
            <w:r w:rsidRPr="00D96F17">
              <w:rPr>
                <w:noProof/>
              </w:rPr>
              <w:t xml:space="preserve">Yürürlüğe Giriş </w:t>
            </w:r>
          </w:p>
        </w:tc>
        <w:tc>
          <w:tcPr>
            <w:tcW w:w="7686" w:type="dxa"/>
            <w:gridSpan w:val="5"/>
          </w:tcPr>
          <w:p w:rsidR="00E13F46" w:rsidRPr="00D96F17" w:rsidRDefault="00AD222F" w:rsidP="00D96F17">
            <w:pPr>
              <w:jc w:val="both"/>
            </w:pPr>
            <w:r w:rsidRPr="00D96F17">
              <w:t>3</w:t>
            </w:r>
            <w:r w:rsidR="00E13F46" w:rsidRPr="00D96F17">
              <w:t xml:space="preserve">. </w:t>
            </w:r>
            <w:r w:rsidR="00E13F46" w:rsidRPr="00D96F17">
              <w:rPr>
                <w:noProof/>
              </w:rPr>
              <w:t>Bu Yasa, Resmi Gazete’de yayımlandığı tarihten başlayarak yürürlüğe girer.</w:t>
            </w:r>
          </w:p>
        </w:tc>
      </w:tr>
    </w:tbl>
    <w:p w:rsidR="00403ACC" w:rsidRPr="00D96F17" w:rsidRDefault="00403ACC" w:rsidP="00D96F17"/>
    <w:sectPr w:rsidR="00403ACC" w:rsidRPr="00D96F17" w:rsidSect="00C5140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35" w:rsidRDefault="00AA2A35" w:rsidP="00470494">
      <w:r>
        <w:separator/>
      </w:r>
    </w:p>
  </w:endnote>
  <w:endnote w:type="continuationSeparator" w:id="0">
    <w:p w:rsidR="00AA2A35" w:rsidRDefault="00AA2A35" w:rsidP="0047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35" w:rsidRDefault="00AA2A35" w:rsidP="00470494">
      <w:r>
        <w:separator/>
      </w:r>
    </w:p>
  </w:footnote>
  <w:footnote w:type="continuationSeparator" w:id="0">
    <w:p w:rsidR="00AA2A35" w:rsidRDefault="00AA2A35" w:rsidP="0047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25C"/>
    <w:multiLevelType w:val="hybridMultilevel"/>
    <w:tmpl w:val="B8D0B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A43DD"/>
    <w:multiLevelType w:val="hybridMultilevel"/>
    <w:tmpl w:val="E6F28478"/>
    <w:lvl w:ilvl="0" w:tplc="EF0C639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B635A1B"/>
    <w:multiLevelType w:val="hybridMultilevel"/>
    <w:tmpl w:val="F4B0C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CC219C"/>
    <w:multiLevelType w:val="multilevel"/>
    <w:tmpl w:val="20A00F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8744C"/>
    <w:multiLevelType w:val="hybridMultilevel"/>
    <w:tmpl w:val="D8EEE1BC"/>
    <w:lvl w:ilvl="0" w:tplc="296A2670">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5">
    <w:nsid w:val="429B6EEC"/>
    <w:multiLevelType w:val="hybridMultilevel"/>
    <w:tmpl w:val="D0B077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FB1B19"/>
    <w:multiLevelType w:val="hybridMultilevel"/>
    <w:tmpl w:val="F5E05B6A"/>
    <w:lvl w:ilvl="0" w:tplc="FE5CDC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AB4435"/>
    <w:multiLevelType w:val="hybridMultilevel"/>
    <w:tmpl w:val="B0B6E5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8222E8"/>
    <w:multiLevelType w:val="hybridMultilevel"/>
    <w:tmpl w:val="C78A9268"/>
    <w:lvl w:ilvl="0" w:tplc="FE5CDC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802EA9"/>
    <w:multiLevelType w:val="hybridMultilevel"/>
    <w:tmpl w:val="8A403932"/>
    <w:lvl w:ilvl="0" w:tplc="FE5CDC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240C8A"/>
    <w:multiLevelType w:val="hybridMultilevel"/>
    <w:tmpl w:val="6B9E1050"/>
    <w:lvl w:ilvl="0" w:tplc="A29E3A4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B43094"/>
    <w:multiLevelType w:val="hybridMultilevel"/>
    <w:tmpl w:val="FE328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787BFB"/>
    <w:multiLevelType w:val="hybridMultilevel"/>
    <w:tmpl w:val="8A403932"/>
    <w:lvl w:ilvl="0" w:tplc="FE5CDC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9"/>
  </w:num>
  <w:num w:numId="5">
    <w:abstractNumId w:val="7"/>
  </w:num>
  <w:num w:numId="6">
    <w:abstractNumId w:val="1"/>
  </w:num>
  <w:num w:numId="7">
    <w:abstractNumId w:val="10"/>
  </w:num>
  <w:num w:numId="8">
    <w:abstractNumId w:val="0"/>
  </w:num>
  <w:num w:numId="9">
    <w:abstractNumId w:val="11"/>
  </w:num>
  <w:num w:numId="10">
    <w:abstractNumId w:val="5"/>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CC"/>
    <w:rsid w:val="000071D7"/>
    <w:rsid w:val="00014A19"/>
    <w:rsid w:val="00016569"/>
    <w:rsid w:val="000454C6"/>
    <w:rsid w:val="0007740C"/>
    <w:rsid w:val="0009246A"/>
    <w:rsid w:val="000950AF"/>
    <w:rsid w:val="000A0285"/>
    <w:rsid w:val="000D7F3A"/>
    <w:rsid w:val="000F25AE"/>
    <w:rsid w:val="000F3293"/>
    <w:rsid w:val="00105FB1"/>
    <w:rsid w:val="00110CFB"/>
    <w:rsid w:val="00137887"/>
    <w:rsid w:val="00142A6A"/>
    <w:rsid w:val="00186149"/>
    <w:rsid w:val="001A0E70"/>
    <w:rsid w:val="001B4EEC"/>
    <w:rsid w:val="001E0032"/>
    <w:rsid w:val="001F5AE2"/>
    <w:rsid w:val="001F794C"/>
    <w:rsid w:val="00203329"/>
    <w:rsid w:val="002416C0"/>
    <w:rsid w:val="00242A0F"/>
    <w:rsid w:val="00296525"/>
    <w:rsid w:val="00296A90"/>
    <w:rsid w:val="002B6279"/>
    <w:rsid w:val="002C05D8"/>
    <w:rsid w:val="002C708F"/>
    <w:rsid w:val="002D776F"/>
    <w:rsid w:val="003016C6"/>
    <w:rsid w:val="00304BCD"/>
    <w:rsid w:val="003062F6"/>
    <w:rsid w:val="00312904"/>
    <w:rsid w:val="00313FE9"/>
    <w:rsid w:val="00316D0C"/>
    <w:rsid w:val="00325BB9"/>
    <w:rsid w:val="00343A10"/>
    <w:rsid w:val="00351E17"/>
    <w:rsid w:val="003606A1"/>
    <w:rsid w:val="0038256C"/>
    <w:rsid w:val="0038535C"/>
    <w:rsid w:val="00387A33"/>
    <w:rsid w:val="003904E2"/>
    <w:rsid w:val="003A4034"/>
    <w:rsid w:val="003B7F6A"/>
    <w:rsid w:val="003C0AEB"/>
    <w:rsid w:val="003C2C09"/>
    <w:rsid w:val="003C5190"/>
    <w:rsid w:val="003E1818"/>
    <w:rsid w:val="00403ACC"/>
    <w:rsid w:val="004356F1"/>
    <w:rsid w:val="00440B4C"/>
    <w:rsid w:val="00463439"/>
    <w:rsid w:val="00470494"/>
    <w:rsid w:val="0049315C"/>
    <w:rsid w:val="004A381E"/>
    <w:rsid w:val="004A38CD"/>
    <w:rsid w:val="004A74DA"/>
    <w:rsid w:val="004B61A3"/>
    <w:rsid w:val="004D5650"/>
    <w:rsid w:val="004D62CE"/>
    <w:rsid w:val="004F327A"/>
    <w:rsid w:val="00515B45"/>
    <w:rsid w:val="005239A7"/>
    <w:rsid w:val="00531B0C"/>
    <w:rsid w:val="005332B8"/>
    <w:rsid w:val="00534F46"/>
    <w:rsid w:val="00547A40"/>
    <w:rsid w:val="005A16B9"/>
    <w:rsid w:val="005D1FAE"/>
    <w:rsid w:val="005E7B01"/>
    <w:rsid w:val="005F24E2"/>
    <w:rsid w:val="0061117B"/>
    <w:rsid w:val="0065110B"/>
    <w:rsid w:val="00665BF1"/>
    <w:rsid w:val="00677C3C"/>
    <w:rsid w:val="006C5B90"/>
    <w:rsid w:val="006E00EB"/>
    <w:rsid w:val="006F1CE3"/>
    <w:rsid w:val="006F4363"/>
    <w:rsid w:val="006F54DE"/>
    <w:rsid w:val="006F75D4"/>
    <w:rsid w:val="006F7797"/>
    <w:rsid w:val="0075555D"/>
    <w:rsid w:val="00755A20"/>
    <w:rsid w:val="007644B9"/>
    <w:rsid w:val="00775CDC"/>
    <w:rsid w:val="00791001"/>
    <w:rsid w:val="007A26DA"/>
    <w:rsid w:val="00815FAD"/>
    <w:rsid w:val="0083054E"/>
    <w:rsid w:val="008327E6"/>
    <w:rsid w:val="00840E2D"/>
    <w:rsid w:val="00843D05"/>
    <w:rsid w:val="0089605D"/>
    <w:rsid w:val="008E225A"/>
    <w:rsid w:val="00900101"/>
    <w:rsid w:val="00900D27"/>
    <w:rsid w:val="00912BAF"/>
    <w:rsid w:val="009142F9"/>
    <w:rsid w:val="0092410F"/>
    <w:rsid w:val="00937057"/>
    <w:rsid w:val="00937152"/>
    <w:rsid w:val="00956150"/>
    <w:rsid w:val="00956388"/>
    <w:rsid w:val="00972DA6"/>
    <w:rsid w:val="009C3872"/>
    <w:rsid w:val="009C69B9"/>
    <w:rsid w:val="009E4BD7"/>
    <w:rsid w:val="00A104FC"/>
    <w:rsid w:val="00A3255B"/>
    <w:rsid w:val="00A414E7"/>
    <w:rsid w:val="00A46533"/>
    <w:rsid w:val="00A67308"/>
    <w:rsid w:val="00A76319"/>
    <w:rsid w:val="00AA2A35"/>
    <w:rsid w:val="00AA4AF3"/>
    <w:rsid w:val="00AB0D72"/>
    <w:rsid w:val="00AC0F5F"/>
    <w:rsid w:val="00AD1FBB"/>
    <w:rsid w:val="00AD222F"/>
    <w:rsid w:val="00AD6794"/>
    <w:rsid w:val="00B0452A"/>
    <w:rsid w:val="00B048EF"/>
    <w:rsid w:val="00B13F0D"/>
    <w:rsid w:val="00B60485"/>
    <w:rsid w:val="00BB78D3"/>
    <w:rsid w:val="00BD0523"/>
    <w:rsid w:val="00BD2738"/>
    <w:rsid w:val="00BF2C05"/>
    <w:rsid w:val="00BF438B"/>
    <w:rsid w:val="00C12C97"/>
    <w:rsid w:val="00C456AF"/>
    <w:rsid w:val="00C51404"/>
    <w:rsid w:val="00C52C31"/>
    <w:rsid w:val="00C635EF"/>
    <w:rsid w:val="00C938B9"/>
    <w:rsid w:val="00C94F8D"/>
    <w:rsid w:val="00C966F9"/>
    <w:rsid w:val="00CB6FFD"/>
    <w:rsid w:val="00CC5304"/>
    <w:rsid w:val="00D04216"/>
    <w:rsid w:val="00D12322"/>
    <w:rsid w:val="00D21DCF"/>
    <w:rsid w:val="00D43B6A"/>
    <w:rsid w:val="00D452DF"/>
    <w:rsid w:val="00D84358"/>
    <w:rsid w:val="00D96F17"/>
    <w:rsid w:val="00DA0A93"/>
    <w:rsid w:val="00DA7368"/>
    <w:rsid w:val="00DB1DE4"/>
    <w:rsid w:val="00DB2A54"/>
    <w:rsid w:val="00DB510F"/>
    <w:rsid w:val="00DC20BF"/>
    <w:rsid w:val="00DC62A0"/>
    <w:rsid w:val="00DE360B"/>
    <w:rsid w:val="00E11610"/>
    <w:rsid w:val="00E13F46"/>
    <w:rsid w:val="00E2261A"/>
    <w:rsid w:val="00E4644B"/>
    <w:rsid w:val="00E51827"/>
    <w:rsid w:val="00E55D06"/>
    <w:rsid w:val="00E755DF"/>
    <w:rsid w:val="00EB08FB"/>
    <w:rsid w:val="00EB2F31"/>
    <w:rsid w:val="00EB3C86"/>
    <w:rsid w:val="00ED53C0"/>
    <w:rsid w:val="00EE24B3"/>
    <w:rsid w:val="00EE3A4C"/>
    <w:rsid w:val="00EE59E3"/>
    <w:rsid w:val="00F10769"/>
    <w:rsid w:val="00F317B4"/>
    <w:rsid w:val="00F35F70"/>
    <w:rsid w:val="00F40229"/>
    <w:rsid w:val="00F64E59"/>
    <w:rsid w:val="00FD50E3"/>
    <w:rsid w:val="00FF2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CC"/>
    <w:pPr>
      <w:spacing w:after="0" w:line="240" w:lineRule="auto"/>
    </w:pPr>
    <w:rPr>
      <w:rFonts w:ascii="Times New Roman" w:eastAsia="Times New Roman" w:hAnsi="Times New Roman" w:cs="Times New Roman"/>
      <w:sz w:val="24"/>
      <w:szCs w:val="24"/>
      <w:lang w:val="tr-TR" w:eastAsia="tr-TR" w:bidi="ar-SA"/>
    </w:rPr>
  </w:style>
  <w:style w:type="paragraph" w:styleId="Heading1">
    <w:name w:val="heading 1"/>
    <w:basedOn w:val="Normal"/>
    <w:next w:val="Normal"/>
    <w:link w:val="Heading1Char"/>
    <w:uiPriority w:val="9"/>
    <w:qFormat/>
    <w:locked/>
    <w:rsid w:val="00D43B6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D43B6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D43B6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D43B6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D43B6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D43B6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D43B6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43B6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43B6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6A"/>
    <w:pPr>
      <w:ind w:left="720"/>
      <w:contextualSpacing/>
    </w:pPr>
  </w:style>
  <w:style w:type="character" w:styleId="Strong">
    <w:name w:val="Strong"/>
    <w:uiPriority w:val="22"/>
    <w:qFormat/>
    <w:rsid w:val="00D43B6A"/>
    <w:rPr>
      <w:b/>
      <w:bCs/>
    </w:rPr>
  </w:style>
  <w:style w:type="character" w:customStyle="1" w:styleId="Heading1Char">
    <w:name w:val="Heading 1 Char"/>
    <w:basedOn w:val="DefaultParagraphFont"/>
    <w:link w:val="Heading1"/>
    <w:uiPriority w:val="9"/>
    <w:rsid w:val="00D43B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43B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3B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3B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3B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3B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3B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3B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3B6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43B6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3B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43B6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43B6A"/>
    <w:rPr>
      <w:rFonts w:asciiTheme="majorHAnsi" w:eastAsiaTheme="majorEastAsia" w:hAnsiTheme="majorHAnsi" w:cstheme="majorBidi"/>
      <w:i/>
      <w:iCs/>
      <w:spacing w:val="13"/>
      <w:sz w:val="24"/>
      <w:szCs w:val="24"/>
    </w:rPr>
  </w:style>
  <w:style w:type="character" w:styleId="Emphasis">
    <w:name w:val="Emphasis"/>
    <w:uiPriority w:val="20"/>
    <w:qFormat/>
    <w:locked/>
    <w:rsid w:val="00D43B6A"/>
    <w:rPr>
      <w:b/>
      <w:bCs/>
      <w:i/>
      <w:iCs/>
      <w:spacing w:val="10"/>
      <w:bdr w:val="none" w:sz="0" w:space="0" w:color="auto"/>
      <w:shd w:val="clear" w:color="auto" w:fill="auto"/>
    </w:rPr>
  </w:style>
  <w:style w:type="paragraph" w:styleId="NoSpacing">
    <w:name w:val="No Spacing"/>
    <w:basedOn w:val="Normal"/>
    <w:uiPriority w:val="1"/>
    <w:qFormat/>
    <w:rsid w:val="00D43B6A"/>
  </w:style>
  <w:style w:type="paragraph" w:styleId="Quote">
    <w:name w:val="Quote"/>
    <w:basedOn w:val="Normal"/>
    <w:next w:val="Normal"/>
    <w:link w:val="QuoteChar"/>
    <w:uiPriority w:val="29"/>
    <w:qFormat/>
    <w:rsid w:val="00D43B6A"/>
    <w:pPr>
      <w:spacing w:before="200"/>
      <w:ind w:left="360" w:right="360"/>
    </w:pPr>
    <w:rPr>
      <w:i/>
      <w:iCs/>
    </w:rPr>
  </w:style>
  <w:style w:type="character" w:customStyle="1" w:styleId="QuoteChar">
    <w:name w:val="Quote Char"/>
    <w:basedOn w:val="DefaultParagraphFont"/>
    <w:link w:val="Quote"/>
    <w:uiPriority w:val="29"/>
    <w:rsid w:val="00D43B6A"/>
    <w:rPr>
      <w:i/>
      <w:iCs/>
    </w:rPr>
  </w:style>
  <w:style w:type="paragraph" w:styleId="IntenseQuote">
    <w:name w:val="Intense Quote"/>
    <w:basedOn w:val="Normal"/>
    <w:next w:val="Normal"/>
    <w:link w:val="IntenseQuoteChar"/>
    <w:uiPriority w:val="30"/>
    <w:qFormat/>
    <w:rsid w:val="00D43B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3B6A"/>
    <w:rPr>
      <w:b/>
      <w:bCs/>
      <w:i/>
      <w:iCs/>
    </w:rPr>
  </w:style>
  <w:style w:type="character" w:styleId="SubtleEmphasis">
    <w:name w:val="Subtle Emphasis"/>
    <w:uiPriority w:val="19"/>
    <w:qFormat/>
    <w:rsid w:val="00D43B6A"/>
    <w:rPr>
      <w:i/>
      <w:iCs/>
    </w:rPr>
  </w:style>
  <w:style w:type="character" w:styleId="IntenseEmphasis">
    <w:name w:val="Intense Emphasis"/>
    <w:uiPriority w:val="21"/>
    <w:qFormat/>
    <w:rsid w:val="00D43B6A"/>
    <w:rPr>
      <w:b/>
      <w:bCs/>
    </w:rPr>
  </w:style>
  <w:style w:type="character" w:styleId="SubtleReference">
    <w:name w:val="Subtle Reference"/>
    <w:uiPriority w:val="31"/>
    <w:qFormat/>
    <w:rsid w:val="00D43B6A"/>
    <w:rPr>
      <w:smallCaps/>
    </w:rPr>
  </w:style>
  <w:style w:type="character" w:styleId="IntenseReference">
    <w:name w:val="Intense Reference"/>
    <w:uiPriority w:val="32"/>
    <w:qFormat/>
    <w:rsid w:val="00D43B6A"/>
    <w:rPr>
      <w:smallCaps/>
      <w:spacing w:val="5"/>
      <w:u w:val="single"/>
    </w:rPr>
  </w:style>
  <w:style w:type="character" w:styleId="BookTitle">
    <w:name w:val="Book Title"/>
    <w:uiPriority w:val="33"/>
    <w:qFormat/>
    <w:rsid w:val="00D43B6A"/>
    <w:rPr>
      <w:i/>
      <w:iCs/>
      <w:smallCaps/>
      <w:spacing w:val="5"/>
    </w:rPr>
  </w:style>
  <w:style w:type="paragraph" w:styleId="TOCHeading">
    <w:name w:val="TOC Heading"/>
    <w:basedOn w:val="Heading1"/>
    <w:next w:val="Normal"/>
    <w:uiPriority w:val="39"/>
    <w:semiHidden/>
    <w:unhideWhenUsed/>
    <w:qFormat/>
    <w:rsid w:val="00D43B6A"/>
    <w:pPr>
      <w:outlineLvl w:val="9"/>
    </w:pPr>
  </w:style>
  <w:style w:type="table" w:styleId="TableGrid">
    <w:name w:val="Table Grid"/>
    <w:basedOn w:val="TableNormal"/>
    <w:uiPriority w:val="59"/>
    <w:rsid w:val="00403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70494"/>
    <w:pPr>
      <w:tabs>
        <w:tab w:val="center" w:pos="4536"/>
        <w:tab w:val="right" w:pos="9072"/>
      </w:tabs>
    </w:pPr>
  </w:style>
  <w:style w:type="character" w:customStyle="1" w:styleId="HeaderChar">
    <w:name w:val="Header Char"/>
    <w:basedOn w:val="DefaultParagraphFont"/>
    <w:link w:val="Header"/>
    <w:uiPriority w:val="99"/>
    <w:rsid w:val="00470494"/>
    <w:rPr>
      <w:rFonts w:ascii="Times New Roman" w:eastAsia="Times New Roman" w:hAnsi="Times New Roman" w:cs="Times New Roman"/>
      <w:sz w:val="24"/>
      <w:szCs w:val="24"/>
      <w:lang w:val="tr-TR" w:eastAsia="tr-TR" w:bidi="ar-SA"/>
    </w:rPr>
  </w:style>
  <w:style w:type="paragraph" w:styleId="Footer">
    <w:name w:val="footer"/>
    <w:basedOn w:val="Normal"/>
    <w:link w:val="FooterChar"/>
    <w:uiPriority w:val="99"/>
    <w:unhideWhenUsed/>
    <w:rsid w:val="00470494"/>
    <w:pPr>
      <w:tabs>
        <w:tab w:val="center" w:pos="4536"/>
        <w:tab w:val="right" w:pos="9072"/>
      </w:tabs>
    </w:pPr>
  </w:style>
  <w:style w:type="character" w:customStyle="1" w:styleId="FooterChar">
    <w:name w:val="Footer Char"/>
    <w:basedOn w:val="DefaultParagraphFont"/>
    <w:link w:val="Footer"/>
    <w:uiPriority w:val="99"/>
    <w:rsid w:val="00470494"/>
    <w:rPr>
      <w:rFonts w:ascii="Times New Roman" w:eastAsia="Times New Roman" w:hAnsi="Times New Roman" w:cs="Times New Roman"/>
      <w:sz w:val="24"/>
      <w:szCs w:val="24"/>
      <w:lang w:val="tr-TR" w:eastAsia="tr-TR" w:bidi="ar-SA"/>
    </w:rPr>
  </w:style>
  <w:style w:type="paragraph" w:styleId="BalloonText">
    <w:name w:val="Balloon Text"/>
    <w:basedOn w:val="Normal"/>
    <w:link w:val="BalloonTextChar"/>
    <w:uiPriority w:val="99"/>
    <w:semiHidden/>
    <w:unhideWhenUsed/>
    <w:rsid w:val="0077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DC"/>
    <w:rPr>
      <w:rFonts w:ascii="Segoe UI" w:eastAsia="Times New Roman" w:hAnsi="Segoe UI" w:cs="Segoe UI"/>
      <w:sz w:val="18"/>
      <w:szCs w:val="18"/>
      <w:lang w:val="tr-TR" w:eastAsia="tr-TR" w:bidi="ar-SA"/>
    </w:rPr>
  </w:style>
  <w:style w:type="character" w:customStyle="1" w:styleId="Gvdemetni2">
    <w:name w:val="Gövde metni (2)_"/>
    <w:basedOn w:val="DefaultParagraphFont"/>
    <w:link w:val="Gvdemetni20"/>
    <w:rsid w:val="004D5650"/>
    <w:rPr>
      <w:rFonts w:ascii="Times New Roman" w:eastAsia="Times New Roman" w:hAnsi="Times New Roman" w:cs="Times New Roman"/>
      <w:shd w:val="clear" w:color="auto" w:fill="FFFFFF"/>
    </w:rPr>
  </w:style>
  <w:style w:type="character" w:customStyle="1" w:styleId="Gvdemetni2Kalntalik">
    <w:name w:val="Gövde metni (2) + Kalın;İtalik"/>
    <w:basedOn w:val="Gvdemetni2"/>
    <w:rsid w:val="004D5650"/>
    <w:rPr>
      <w:rFonts w:ascii="Times New Roman" w:eastAsia="Times New Roman" w:hAnsi="Times New Roman" w:cs="Times New Roman"/>
      <w:b/>
      <w:bCs/>
      <w:i/>
      <w:i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4D5650"/>
    <w:pPr>
      <w:widowControl w:val="0"/>
      <w:shd w:val="clear" w:color="auto" w:fill="FFFFFF"/>
      <w:spacing w:after="300" w:line="0" w:lineRule="atLeast"/>
      <w:ind w:hanging="1000"/>
      <w:jc w:val="center"/>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CC"/>
    <w:pPr>
      <w:spacing w:after="0" w:line="240" w:lineRule="auto"/>
    </w:pPr>
    <w:rPr>
      <w:rFonts w:ascii="Times New Roman" w:eastAsia="Times New Roman" w:hAnsi="Times New Roman" w:cs="Times New Roman"/>
      <w:sz w:val="24"/>
      <w:szCs w:val="24"/>
      <w:lang w:val="tr-TR" w:eastAsia="tr-TR" w:bidi="ar-SA"/>
    </w:rPr>
  </w:style>
  <w:style w:type="paragraph" w:styleId="Heading1">
    <w:name w:val="heading 1"/>
    <w:basedOn w:val="Normal"/>
    <w:next w:val="Normal"/>
    <w:link w:val="Heading1Char"/>
    <w:uiPriority w:val="9"/>
    <w:qFormat/>
    <w:locked/>
    <w:rsid w:val="00D43B6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D43B6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D43B6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D43B6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D43B6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D43B6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D43B6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43B6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43B6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6A"/>
    <w:pPr>
      <w:ind w:left="720"/>
      <w:contextualSpacing/>
    </w:pPr>
  </w:style>
  <w:style w:type="character" w:styleId="Strong">
    <w:name w:val="Strong"/>
    <w:uiPriority w:val="22"/>
    <w:qFormat/>
    <w:rsid w:val="00D43B6A"/>
    <w:rPr>
      <w:b/>
      <w:bCs/>
    </w:rPr>
  </w:style>
  <w:style w:type="character" w:customStyle="1" w:styleId="Heading1Char">
    <w:name w:val="Heading 1 Char"/>
    <w:basedOn w:val="DefaultParagraphFont"/>
    <w:link w:val="Heading1"/>
    <w:uiPriority w:val="9"/>
    <w:rsid w:val="00D43B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43B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3B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3B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3B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3B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3B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3B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3B6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43B6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3B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43B6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43B6A"/>
    <w:rPr>
      <w:rFonts w:asciiTheme="majorHAnsi" w:eastAsiaTheme="majorEastAsia" w:hAnsiTheme="majorHAnsi" w:cstheme="majorBidi"/>
      <w:i/>
      <w:iCs/>
      <w:spacing w:val="13"/>
      <w:sz w:val="24"/>
      <w:szCs w:val="24"/>
    </w:rPr>
  </w:style>
  <w:style w:type="character" w:styleId="Emphasis">
    <w:name w:val="Emphasis"/>
    <w:uiPriority w:val="20"/>
    <w:qFormat/>
    <w:locked/>
    <w:rsid w:val="00D43B6A"/>
    <w:rPr>
      <w:b/>
      <w:bCs/>
      <w:i/>
      <w:iCs/>
      <w:spacing w:val="10"/>
      <w:bdr w:val="none" w:sz="0" w:space="0" w:color="auto"/>
      <w:shd w:val="clear" w:color="auto" w:fill="auto"/>
    </w:rPr>
  </w:style>
  <w:style w:type="paragraph" w:styleId="NoSpacing">
    <w:name w:val="No Spacing"/>
    <w:basedOn w:val="Normal"/>
    <w:uiPriority w:val="1"/>
    <w:qFormat/>
    <w:rsid w:val="00D43B6A"/>
  </w:style>
  <w:style w:type="paragraph" w:styleId="Quote">
    <w:name w:val="Quote"/>
    <w:basedOn w:val="Normal"/>
    <w:next w:val="Normal"/>
    <w:link w:val="QuoteChar"/>
    <w:uiPriority w:val="29"/>
    <w:qFormat/>
    <w:rsid w:val="00D43B6A"/>
    <w:pPr>
      <w:spacing w:before="200"/>
      <w:ind w:left="360" w:right="360"/>
    </w:pPr>
    <w:rPr>
      <w:i/>
      <w:iCs/>
    </w:rPr>
  </w:style>
  <w:style w:type="character" w:customStyle="1" w:styleId="QuoteChar">
    <w:name w:val="Quote Char"/>
    <w:basedOn w:val="DefaultParagraphFont"/>
    <w:link w:val="Quote"/>
    <w:uiPriority w:val="29"/>
    <w:rsid w:val="00D43B6A"/>
    <w:rPr>
      <w:i/>
      <w:iCs/>
    </w:rPr>
  </w:style>
  <w:style w:type="paragraph" w:styleId="IntenseQuote">
    <w:name w:val="Intense Quote"/>
    <w:basedOn w:val="Normal"/>
    <w:next w:val="Normal"/>
    <w:link w:val="IntenseQuoteChar"/>
    <w:uiPriority w:val="30"/>
    <w:qFormat/>
    <w:rsid w:val="00D43B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3B6A"/>
    <w:rPr>
      <w:b/>
      <w:bCs/>
      <w:i/>
      <w:iCs/>
    </w:rPr>
  </w:style>
  <w:style w:type="character" w:styleId="SubtleEmphasis">
    <w:name w:val="Subtle Emphasis"/>
    <w:uiPriority w:val="19"/>
    <w:qFormat/>
    <w:rsid w:val="00D43B6A"/>
    <w:rPr>
      <w:i/>
      <w:iCs/>
    </w:rPr>
  </w:style>
  <w:style w:type="character" w:styleId="IntenseEmphasis">
    <w:name w:val="Intense Emphasis"/>
    <w:uiPriority w:val="21"/>
    <w:qFormat/>
    <w:rsid w:val="00D43B6A"/>
    <w:rPr>
      <w:b/>
      <w:bCs/>
    </w:rPr>
  </w:style>
  <w:style w:type="character" w:styleId="SubtleReference">
    <w:name w:val="Subtle Reference"/>
    <w:uiPriority w:val="31"/>
    <w:qFormat/>
    <w:rsid w:val="00D43B6A"/>
    <w:rPr>
      <w:smallCaps/>
    </w:rPr>
  </w:style>
  <w:style w:type="character" w:styleId="IntenseReference">
    <w:name w:val="Intense Reference"/>
    <w:uiPriority w:val="32"/>
    <w:qFormat/>
    <w:rsid w:val="00D43B6A"/>
    <w:rPr>
      <w:smallCaps/>
      <w:spacing w:val="5"/>
      <w:u w:val="single"/>
    </w:rPr>
  </w:style>
  <w:style w:type="character" w:styleId="BookTitle">
    <w:name w:val="Book Title"/>
    <w:uiPriority w:val="33"/>
    <w:qFormat/>
    <w:rsid w:val="00D43B6A"/>
    <w:rPr>
      <w:i/>
      <w:iCs/>
      <w:smallCaps/>
      <w:spacing w:val="5"/>
    </w:rPr>
  </w:style>
  <w:style w:type="paragraph" w:styleId="TOCHeading">
    <w:name w:val="TOC Heading"/>
    <w:basedOn w:val="Heading1"/>
    <w:next w:val="Normal"/>
    <w:uiPriority w:val="39"/>
    <w:semiHidden/>
    <w:unhideWhenUsed/>
    <w:qFormat/>
    <w:rsid w:val="00D43B6A"/>
    <w:pPr>
      <w:outlineLvl w:val="9"/>
    </w:pPr>
  </w:style>
  <w:style w:type="table" w:styleId="TableGrid">
    <w:name w:val="Table Grid"/>
    <w:basedOn w:val="TableNormal"/>
    <w:uiPriority w:val="59"/>
    <w:rsid w:val="00403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70494"/>
    <w:pPr>
      <w:tabs>
        <w:tab w:val="center" w:pos="4536"/>
        <w:tab w:val="right" w:pos="9072"/>
      </w:tabs>
    </w:pPr>
  </w:style>
  <w:style w:type="character" w:customStyle="1" w:styleId="HeaderChar">
    <w:name w:val="Header Char"/>
    <w:basedOn w:val="DefaultParagraphFont"/>
    <w:link w:val="Header"/>
    <w:uiPriority w:val="99"/>
    <w:rsid w:val="00470494"/>
    <w:rPr>
      <w:rFonts w:ascii="Times New Roman" w:eastAsia="Times New Roman" w:hAnsi="Times New Roman" w:cs="Times New Roman"/>
      <w:sz w:val="24"/>
      <w:szCs w:val="24"/>
      <w:lang w:val="tr-TR" w:eastAsia="tr-TR" w:bidi="ar-SA"/>
    </w:rPr>
  </w:style>
  <w:style w:type="paragraph" w:styleId="Footer">
    <w:name w:val="footer"/>
    <w:basedOn w:val="Normal"/>
    <w:link w:val="FooterChar"/>
    <w:uiPriority w:val="99"/>
    <w:unhideWhenUsed/>
    <w:rsid w:val="00470494"/>
    <w:pPr>
      <w:tabs>
        <w:tab w:val="center" w:pos="4536"/>
        <w:tab w:val="right" w:pos="9072"/>
      </w:tabs>
    </w:pPr>
  </w:style>
  <w:style w:type="character" w:customStyle="1" w:styleId="FooterChar">
    <w:name w:val="Footer Char"/>
    <w:basedOn w:val="DefaultParagraphFont"/>
    <w:link w:val="Footer"/>
    <w:uiPriority w:val="99"/>
    <w:rsid w:val="00470494"/>
    <w:rPr>
      <w:rFonts w:ascii="Times New Roman" w:eastAsia="Times New Roman" w:hAnsi="Times New Roman" w:cs="Times New Roman"/>
      <w:sz w:val="24"/>
      <w:szCs w:val="24"/>
      <w:lang w:val="tr-TR" w:eastAsia="tr-TR" w:bidi="ar-SA"/>
    </w:rPr>
  </w:style>
  <w:style w:type="paragraph" w:styleId="BalloonText">
    <w:name w:val="Balloon Text"/>
    <w:basedOn w:val="Normal"/>
    <w:link w:val="BalloonTextChar"/>
    <w:uiPriority w:val="99"/>
    <w:semiHidden/>
    <w:unhideWhenUsed/>
    <w:rsid w:val="0077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DC"/>
    <w:rPr>
      <w:rFonts w:ascii="Segoe UI" w:eastAsia="Times New Roman" w:hAnsi="Segoe UI" w:cs="Segoe UI"/>
      <w:sz w:val="18"/>
      <w:szCs w:val="18"/>
      <w:lang w:val="tr-TR" w:eastAsia="tr-TR" w:bidi="ar-SA"/>
    </w:rPr>
  </w:style>
  <w:style w:type="character" w:customStyle="1" w:styleId="Gvdemetni2">
    <w:name w:val="Gövde metni (2)_"/>
    <w:basedOn w:val="DefaultParagraphFont"/>
    <w:link w:val="Gvdemetni20"/>
    <w:rsid w:val="004D5650"/>
    <w:rPr>
      <w:rFonts w:ascii="Times New Roman" w:eastAsia="Times New Roman" w:hAnsi="Times New Roman" w:cs="Times New Roman"/>
      <w:shd w:val="clear" w:color="auto" w:fill="FFFFFF"/>
    </w:rPr>
  </w:style>
  <w:style w:type="character" w:customStyle="1" w:styleId="Gvdemetni2Kalntalik">
    <w:name w:val="Gövde metni (2) + Kalın;İtalik"/>
    <w:basedOn w:val="Gvdemetni2"/>
    <w:rsid w:val="004D5650"/>
    <w:rPr>
      <w:rFonts w:ascii="Times New Roman" w:eastAsia="Times New Roman" w:hAnsi="Times New Roman" w:cs="Times New Roman"/>
      <w:b/>
      <w:bCs/>
      <w:i/>
      <w:i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4D5650"/>
    <w:pPr>
      <w:widowControl w:val="0"/>
      <w:shd w:val="clear" w:color="auto" w:fill="FFFFFF"/>
      <w:spacing w:after="300" w:line="0" w:lineRule="atLeast"/>
      <w:ind w:hanging="1000"/>
      <w:jc w:val="center"/>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5996">
      <w:bodyDiv w:val="1"/>
      <w:marLeft w:val="0"/>
      <w:marRight w:val="0"/>
      <w:marTop w:val="0"/>
      <w:marBottom w:val="0"/>
      <w:divBdr>
        <w:top w:val="none" w:sz="0" w:space="0" w:color="auto"/>
        <w:left w:val="none" w:sz="0" w:space="0" w:color="auto"/>
        <w:bottom w:val="none" w:sz="0" w:space="0" w:color="auto"/>
        <w:right w:val="none" w:sz="0" w:space="0" w:color="auto"/>
      </w:divBdr>
    </w:div>
    <w:div w:id="9219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53AF-7503-4D75-84D6-B39C2217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guliz.avkan</cp:lastModifiedBy>
  <cp:revision>5</cp:revision>
  <cp:lastPrinted>2017-05-18T16:18:00Z</cp:lastPrinted>
  <dcterms:created xsi:type="dcterms:W3CDTF">2017-05-29T10:36:00Z</dcterms:created>
  <dcterms:modified xsi:type="dcterms:W3CDTF">2017-07-04T08:38:00Z</dcterms:modified>
</cp:coreProperties>
</file>