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AA" w:rsidRDefault="00555BAA" w:rsidP="00555BAA">
      <w:pPr>
        <w:rPr>
          <w:rFonts w:ascii="Times New Roman" w:eastAsia="Times New Roman" w:hAnsi="Times New Roman"/>
          <w:sz w:val="24"/>
          <w:szCs w:val="24"/>
          <w:lang w:eastAsia="tr-TR"/>
        </w:rPr>
      </w:pPr>
    </w:p>
    <w:p w:rsidR="00AB23F3" w:rsidRPr="00AB23F3" w:rsidRDefault="00AB23F3" w:rsidP="00AB23F3">
      <w:pPr>
        <w:spacing w:after="0" w:line="240" w:lineRule="auto"/>
        <w:ind w:left="-142"/>
        <w:jc w:val="both"/>
        <w:rPr>
          <w:rFonts w:ascii="Times New Roman" w:eastAsia="Times New Roman" w:hAnsi="Times New Roman"/>
          <w:bCs/>
          <w:sz w:val="24"/>
          <w:szCs w:val="24"/>
          <w:lang w:eastAsia="tr-TR"/>
        </w:rPr>
      </w:pPr>
      <w:r w:rsidRPr="00AB23F3">
        <w:rPr>
          <w:rFonts w:ascii="Times New Roman" w:eastAsia="Times New Roman" w:hAnsi="Times New Roman"/>
          <w:bCs/>
          <w:sz w:val="24"/>
          <w:szCs w:val="24"/>
          <w:lang w:eastAsia="tr-TR"/>
        </w:rPr>
        <w:t xml:space="preserve">Kuzey Kıbrıs Türk Cumhuriyeti Cumhuriyet Meclisi’nin </w:t>
      </w:r>
      <w:r w:rsidRPr="00AB23F3">
        <w:rPr>
          <w:rFonts w:ascii="Times New Roman" w:eastAsia="Times New Roman" w:hAnsi="Times New Roman"/>
          <w:bCs/>
          <w:sz w:val="24"/>
          <w:szCs w:val="24"/>
          <w:lang w:eastAsia="tr-TR"/>
        </w:rPr>
        <w:t>26 Mart</w:t>
      </w:r>
      <w:r w:rsidRPr="00AB23F3">
        <w:rPr>
          <w:rFonts w:ascii="Times New Roman" w:eastAsia="Times New Roman" w:hAnsi="Times New Roman"/>
          <w:bCs/>
          <w:sz w:val="24"/>
          <w:szCs w:val="24"/>
          <w:lang w:eastAsia="tr-TR"/>
        </w:rPr>
        <w:t xml:space="preserve"> 201</w:t>
      </w:r>
      <w:r w:rsidRPr="00AB23F3">
        <w:rPr>
          <w:rFonts w:ascii="Times New Roman" w:eastAsia="Times New Roman" w:hAnsi="Times New Roman"/>
          <w:bCs/>
          <w:sz w:val="24"/>
          <w:szCs w:val="24"/>
          <w:lang w:eastAsia="tr-TR"/>
        </w:rPr>
        <w:t>8</w:t>
      </w:r>
      <w:r w:rsidRPr="00AB23F3">
        <w:rPr>
          <w:rFonts w:ascii="Times New Roman" w:eastAsia="Times New Roman" w:hAnsi="Times New Roman"/>
          <w:bCs/>
          <w:sz w:val="24"/>
          <w:szCs w:val="24"/>
          <w:lang w:eastAsia="tr-TR"/>
        </w:rPr>
        <w:t xml:space="preserve"> tarihli </w:t>
      </w:r>
      <w:proofErr w:type="spellStart"/>
      <w:r w:rsidRPr="00AB23F3">
        <w:rPr>
          <w:rFonts w:ascii="Times New Roman" w:eastAsia="Times New Roman" w:hAnsi="Times New Roman"/>
          <w:bCs/>
          <w:sz w:val="24"/>
          <w:szCs w:val="24"/>
          <w:lang w:eastAsia="tr-TR"/>
        </w:rPr>
        <w:t>Onsekizinci</w:t>
      </w:r>
      <w:proofErr w:type="spellEnd"/>
      <w:r w:rsidRPr="00AB23F3">
        <w:rPr>
          <w:rFonts w:ascii="Times New Roman" w:eastAsia="Times New Roman" w:hAnsi="Times New Roman"/>
          <w:bCs/>
          <w:sz w:val="24"/>
          <w:szCs w:val="24"/>
          <w:lang w:eastAsia="tr-TR"/>
        </w:rPr>
        <w:t xml:space="preserve"> Birleşiminde Oybirliğiyle kabul olunan “Kamu Sağlık Çalışanları (Değişiklik</w:t>
      </w:r>
      <w:r w:rsidRPr="00AB23F3">
        <w:rPr>
          <w:rFonts w:ascii="Times New Roman" w:eastAsia="Times New Roman" w:hAnsi="Times New Roman"/>
          <w:bCs/>
          <w:sz w:val="24"/>
          <w:szCs w:val="24"/>
          <w:lang w:eastAsia="tr-TR"/>
        </w:rPr>
        <w:t xml:space="preserve"> No:2</w:t>
      </w:r>
      <w:r w:rsidRPr="00AB23F3">
        <w:rPr>
          <w:rFonts w:ascii="Times New Roman" w:eastAsia="Times New Roman" w:hAnsi="Times New Roman"/>
          <w:bCs/>
          <w:sz w:val="24"/>
          <w:szCs w:val="24"/>
          <w:lang w:eastAsia="tr-TR"/>
        </w:rPr>
        <w:t xml:space="preserve">) Yasası” Anayasanın 94’üncü maddesinin (1)’inci fıkrası gereğince Kuzey Kıbrıs Türk Cumhuriyeti Cumhurbaşkanı tarafından Resmi </w:t>
      </w:r>
      <w:proofErr w:type="spellStart"/>
      <w:r w:rsidRPr="00AB23F3">
        <w:rPr>
          <w:rFonts w:ascii="Times New Roman" w:eastAsia="Times New Roman" w:hAnsi="Times New Roman"/>
          <w:bCs/>
          <w:sz w:val="24"/>
          <w:szCs w:val="24"/>
          <w:lang w:eastAsia="tr-TR"/>
        </w:rPr>
        <w:t>Gazete’de</w:t>
      </w:r>
      <w:proofErr w:type="spellEnd"/>
      <w:r w:rsidRPr="00AB23F3">
        <w:rPr>
          <w:rFonts w:ascii="Times New Roman" w:eastAsia="Times New Roman" w:hAnsi="Times New Roman"/>
          <w:bCs/>
          <w:sz w:val="24"/>
          <w:szCs w:val="24"/>
          <w:lang w:eastAsia="tr-TR"/>
        </w:rPr>
        <w:t xml:space="preserve"> yayımlanmak suretiyle ilan olunur.</w:t>
      </w:r>
    </w:p>
    <w:p w:rsidR="00AB23F3" w:rsidRPr="00AB23F3" w:rsidRDefault="00AB23F3" w:rsidP="00AB23F3">
      <w:pPr>
        <w:spacing w:after="0" w:line="240" w:lineRule="auto"/>
        <w:jc w:val="both"/>
        <w:rPr>
          <w:rFonts w:ascii="Times New Roman" w:eastAsia="Times New Roman" w:hAnsi="Times New Roman"/>
          <w:sz w:val="24"/>
          <w:szCs w:val="24"/>
          <w:lang w:eastAsia="tr-TR"/>
        </w:rPr>
      </w:pPr>
    </w:p>
    <w:p w:rsidR="00AB23F3" w:rsidRPr="00AB23F3" w:rsidRDefault="00AB23F3" w:rsidP="00AB23F3">
      <w:pPr>
        <w:spacing w:after="0" w:line="240" w:lineRule="auto"/>
        <w:jc w:val="center"/>
        <w:rPr>
          <w:rFonts w:ascii="Times New Roman" w:eastAsia="Times New Roman" w:hAnsi="Times New Roman"/>
          <w:sz w:val="24"/>
          <w:szCs w:val="24"/>
          <w:lang w:eastAsia="tr-TR"/>
        </w:rPr>
      </w:pPr>
      <w:r w:rsidRPr="00AB23F3">
        <w:rPr>
          <w:rFonts w:ascii="Times New Roman" w:eastAsia="Times New Roman" w:hAnsi="Times New Roman"/>
          <w:sz w:val="24"/>
          <w:szCs w:val="24"/>
          <w:lang w:eastAsia="tr-TR"/>
        </w:rPr>
        <w:t>Sayı:0</w:t>
      </w:r>
      <w:r>
        <w:rPr>
          <w:rFonts w:ascii="Times New Roman" w:eastAsia="Times New Roman" w:hAnsi="Times New Roman"/>
          <w:sz w:val="24"/>
          <w:szCs w:val="24"/>
          <w:lang w:eastAsia="tr-TR"/>
        </w:rPr>
        <w:t>7</w:t>
      </w:r>
      <w:r w:rsidRPr="00AB23F3">
        <w:rPr>
          <w:rFonts w:ascii="Times New Roman" w:eastAsia="Times New Roman" w:hAnsi="Times New Roman"/>
          <w:sz w:val="24"/>
          <w:szCs w:val="24"/>
          <w:lang w:eastAsia="tr-TR"/>
        </w:rPr>
        <w:t>/2018</w:t>
      </w:r>
    </w:p>
    <w:tbl>
      <w:tblPr>
        <w:tblStyle w:val="TableGrid2"/>
        <w:tblpPr w:leftFromText="141" w:rightFromText="141" w:vertAnchor="page" w:horzAnchor="margin" w:tblpY="38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6"/>
        <w:gridCol w:w="517"/>
        <w:gridCol w:w="709"/>
        <w:gridCol w:w="992"/>
        <w:gridCol w:w="850"/>
        <w:gridCol w:w="4644"/>
      </w:tblGrid>
      <w:tr w:rsidR="00AB23F3" w:rsidTr="00AB23F3">
        <w:tc>
          <w:tcPr>
            <w:tcW w:w="9288" w:type="dxa"/>
            <w:gridSpan w:val="6"/>
            <w:hideMark/>
          </w:tcPr>
          <w:p w:rsidR="00AB23F3" w:rsidRDefault="00AB23F3" w:rsidP="00AB23F3">
            <w:pPr>
              <w:jc w:val="center"/>
              <w:rPr>
                <w:rFonts w:ascii="Times New Roman" w:hAnsi="Times New Roman"/>
                <w:sz w:val="24"/>
                <w:szCs w:val="24"/>
              </w:rPr>
            </w:pPr>
            <w:bookmarkStart w:id="0" w:name="_GoBack"/>
            <w:bookmarkEnd w:id="0"/>
            <w:r>
              <w:rPr>
                <w:rFonts w:ascii="Times New Roman" w:hAnsi="Times New Roman"/>
                <w:sz w:val="24"/>
                <w:szCs w:val="24"/>
              </w:rPr>
              <w:t>KAMU SAĞLIK ÇALIŞANLARI (DEĞİŞİKLİK NO:2) YASASI</w:t>
            </w:r>
          </w:p>
        </w:tc>
      </w:tr>
      <w:tr w:rsidR="00AB23F3" w:rsidTr="00AB23F3">
        <w:tc>
          <w:tcPr>
            <w:tcW w:w="9288" w:type="dxa"/>
            <w:gridSpan w:val="6"/>
          </w:tcPr>
          <w:p w:rsidR="00AB23F3" w:rsidRDefault="00AB23F3" w:rsidP="00AB23F3">
            <w:pPr>
              <w:jc w:val="center"/>
              <w:rPr>
                <w:rFonts w:ascii="Times New Roman" w:hAnsi="Times New Roman"/>
                <w:sz w:val="24"/>
                <w:szCs w:val="24"/>
              </w:rPr>
            </w:pPr>
          </w:p>
        </w:tc>
      </w:tr>
      <w:tr w:rsidR="00AB23F3" w:rsidTr="00AB23F3">
        <w:tc>
          <w:tcPr>
            <w:tcW w:w="9288" w:type="dxa"/>
            <w:gridSpan w:val="6"/>
          </w:tcPr>
          <w:p w:rsidR="00AB23F3" w:rsidRDefault="00AB23F3" w:rsidP="00AB23F3">
            <w:pPr>
              <w:jc w:val="center"/>
              <w:rPr>
                <w:rFonts w:ascii="Times New Roman" w:hAnsi="Times New Roman"/>
                <w:sz w:val="24"/>
                <w:szCs w:val="24"/>
              </w:rPr>
            </w:pPr>
          </w:p>
        </w:tc>
      </w:tr>
      <w:tr w:rsidR="00AB23F3" w:rsidTr="00AB23F3">
        <w:tc>
          <w:tcPr>
            <w:tcW w:w="1576" w:type="dxa"/>
          </w:tcPr>
          <w:p w:rsidR="00AB23F3" w:rsidRDefault="00AB23F3" w:rsidP="00AB23F3">
            <w:pPr>
              <w:jc w:val="center"/>
              <w:rPr>
                <w:rFonts w:ascii="Times New Roman" w:hAnsi="Times New Roman"/>
                <w:sz w:val="24"/>
                <w:szCs w:val="24"/>
              </w:rPr>
            </w:pPr>
          </w:p>
        </w:tc>
        <w:tc>
          <w:tcPr>
            <w:tcW w:w="7712" w:type="dxa"/>
            <w:gridSpan w:val="5"/>
            <w:hideMark/>
          </w:tcPr>
          <w:p w:rsidR="00AB23F3" w:rsidRDefault="00AB23F3" w:rsidP="00AB23F3">
            <w:pPr>
              <w:jc w:val="both"/>
              <w:rPr>
                <w:rFonts w:ascii="Times New Roman" w:hAnsi="Times New Roman"/>
                <w:sz w:val="24"/>
                <w:szCs w:val="24"/>
              </w:rPr>
            </w:pPr>
            <w:r>
              <w:rPr>
                <w:rFonts w:ascii="Times New Roman" w:hAnsi="Times New Roman"/>
                <w:sz w:val="24"/>
                <w:szCs w:val="24"/>
              </w:rPr>
              <w:t xml:space="preserve">        Kuzey Kıbrıs Türk Cumhuriyeti Cumhuriyet Meclisi aşağıdaki Yasayı yapar:</w:t>
            </w:r>
          </w:p>
        </w:tc>
      </w:tr>
      <w:tr w:rsidR="00AB23F3" w:rsidTr="00AB23F3">
        <w:tc>
          <w:tcPr>
            <w:tcW w:w="1576" w:type="dxa"/>
          </w:tcPr>
          <w:p w:rsidR="00AB23F3" w:rsidRDefault="00AB23F3" w:rsidP="00AB23F3">
            <w:pPr>
              <w:jc w:val="center"/>
              <w:rPr>
                <w:rFonts w:ascii="Times New Roman" w:hAnsi="Times New Roman"/>
                <w:sz w:val="24"/>
                <w:szCs w:val="24"/>
              </w:rPr>
            </w:pPr>
          </w:p>
        </w:tc>
        <w:tc>
          <w:tcPr>
            <w:tcW w:w="7712" w:type="dxa"/>
            <w:gridSpan w:val="5"/>
          </w:tcPr>
          <w:p w:rsidR="00AB23F3" w:rsidRDefault="00AB23F3" w:rsidP="00AB23F3">
            <w:pPr>
              <w:jc w:val="both"/>
              <w:rPr>
                <w:rFonts w:ascii="Times New Roman" w:hAnsi="Times New Roman"/>
                <w:sz w:val="24"/>
                <w:szCs w:val="24"/>
              </w:rPr>
            </w:pPr>
          </w:p>
        </w:tc>
      </w:tr>
      <w:tr w:rsidR="00AB23F3" w:rsidTr="00AB23F3">
        <w:tc>
          <w:tcPr>
            <w:tcW w:w="1576" w:type="dxa"/>
            <w:hideMark/>
          </w:tcPr>
          <w:p w:rsidR="00AB23F3" w:rsidRDefault="00AB23F3" w:rsidP="00AB23F3">
            <w:pPr>
              <w:rPr>
                <w:rFonts w:ascii="Times New Roman" w:hAnsi="Times New Roman"/>
                <w:sz w:val="24"/>
                <w:szCs w:val="24"/>
              </w:rPr>
            </w:pPr>
            <w:r>
              <w:rPr>
                <w:rFonts w:ascii="Times New Roman" w:hAnsi="Times New Roman"/>
                <w:sz w:val="24"/>
                <w:szCs w:val="24"/>
              </w:rPr>
              <w:t xml:space="preserve">Kısa İsim </w:t>
            </w:r>
          </w:p>
          <w:p w:rsidR="00AB23F3" w:rsidRDefault="00AB23F3" w:rsidP="00AB23F3">
            <w:pPr>
              <w:rPr>
                <w:rFonts w:ascii="Times New Roman" w:hAnsi="Times New Roman"/>
                <w:sz w:val="24"/>
                <w:szCs w:val="24"/>
              </w:rPr>
            </w:pPr>
            <w:r>
              <w:rPr>
                <w:rFonts w:ascii="Times New Roman" w:hAnsi="Times New Roman"/>
                <w:sz w:val="24"/>
                <w:szCs w:val="24"/>
              </w:rPr>
              <w:t xml:space="preserve"> 6/2009</w:t>
            </w:r>
          </w:p>
          <w:p w:rsidR="00AB23F3" w:rsidRDefault="00AB23F3" w:rsidP="00AB23F3">
            <w:pPr>
              <w:rPr>
                <w:rFonts w:ascii="Times New Roman" w:hAnsi="Times New Roman"/>
                <w:sz w:val="24"/>
                <w:szCs w:val="24"/>
              </w:rPr>
            </w:pPr>
            <w:r>
              <w:rPr>
                <w:rFonts w:ascii="Times New Roman" w:hAnsi="Times New Roman"/>
                <w:sz w:val="24"/>
                <w:szCs w:val="24"/>
              </w:rPr>
              <w:t xml:space="preserve">     75/2009</w:t>
            </w:r>
          </w:p>
          <w:p w:rsidR="00AB23F3" w:rsidRDefault="00AB23F3" w:rsidP="00AB23F3">
            <w:pPr>
              <w:rPr>
                <w:rFonts w:ascii="Times New Roman" w:hAnsi="Times New Roman"/>
                <w:sz w:val="24"/>
                <w:szCs w:val="24"/>
              </w:rPr>
            </w:pPr>
            <w:r>
              <w:rPr>
                <w:rFonts w:ascii="Times New Roman" w:hAnsi="Times New Roman"/>
                <w:sz w:val="24"/>
                <w:szCs w:val="24"/>
              </w:rPr>
              <w:t xml:space="preserve">     37/2010</w:t>
            </w:r>
          </w:p>
          <w:p w:rsidR="00AB23F3" w:rsidRDefault="00AB23F3" w:rsidP="00AB23F3">
            <w:pPr>
              <w:rPr>
                <w:rFonts w:ascii="Times New Roman" w:hAnsi="Times New Roman"/>
                <w:sz w:val="24"/>
                <w:szCs w:val="24"/>
              </w:rPr>
            </w:pPr>
            <w:r>
              <w:rPr>
                <w:rFonts w:ascii="Times New Roman" w:hAnsi="Times New Roman"/>
                <w:sz w:val="24"/>
                <w:szCs w:val="24"/>
              </w:rPr>
              <w:t xml:space="preserve">     49/2010</w:t>
            </w:r>
          </w:p>
          <w:p w:rsidR="00AB23F3" w:rsidRDefault="00AB23F3" w:rsidP="00AB23F3">
            <w:pPr>
              <w:rPr>
                <w:rFonts w:ascii="Times New Roman" w:hAnsi="Times New Roman"/>
                <w:sz w:val="24"/>
                <w:szCs w:val="24"/>
              </w:rPr>
            </w:pPr>
            <w:r>
              <w:rPr>
                <w:rFonts w:ascii="Times New Roman" w:hAnsi="Times New Roman"/>
                <w:sz w:val="24"/>
                <w:szCs w:val="24"/>
              </w:rPr>
              <w:t xml:space="preserve">     18/2017</w:t>
            </w:r>
          </w:p>
          <w:p w:rsidR="00AB23F3" w:rsidRDefault="00AB23F3" w:rsidP="00AB23F3">
            <w:pPr>
              <w:rPr>
                <w:rFonts w:ascii="Times New Roman" w:hAnsi="Times New Roman"/>
                <w:sz w:val="24"/>
                <w:szCs w:val="24"/>
              </w:rPr>
            </w:pPr>
            <w:r>
              <w:rPr>
                <w:rFonts w:ascii="Times New Roman" w:hAnsi="Times New Roman"/>
                <w:sz w:val="24"/>
                <w:szCs w:val="24"/>
              </w:rPr>
              <w:t xml:space="preserve">     47/2017</w:t>
            </w:r>
          </w:p>
          <w:p w:rsidR="00AB23F3" w:rsidRDefault="00AB23F3" w:rsidP="00AB23F3">
            <w:pPr>
              <w:rPr>
                <w:rFonts w:ascii="Times New Roman" w:hAnsi="Times New Roman"/>
                <w:sz w:val="24"/>
                <w:szCs w:val="24"/>
              </w:rPr>
            </w:pPr>
            <w:r>
              <w:rPr>
                <w:rFonts w:ascii="Times New Roman" w:hAnsi="Times New Roman"/>
                <w:sz w:val="24"/>
                <w:szCs w:val="24"/>
              </w:rPr>
              <w:t xml:space="preserve">       1/2018</w:t>
            </w:r>
          </w:p>
        </w:tc>
        <w:tc>
          <w:tcPr>
            <w:tcW w:w="7712" w:type="dxa"/>
            <w:gridSpan w:val="5"/>
            <w:hideMark/>
          </w:tcPr>
          <w:p w:rsidR="00AB23F3" w:rsidRDefault="00AB23F3" w:rsidP="00AB23F3">
            <w:pPr>
              <w:jc w:val="both"/>
              <w:rPr>
                <w:rFonts w:ascii="Times New Roman" w:hAnsi="Times New Roman"/>
                <w:sz w:val="24"/>
                <w:szCs w:val="24"/>
              </w:rPr>
            </w:pPr>
            <w:r>
              <w:rPr>
                <w:rFonts w:ascii="Times New Roman" w:hAnsi="Times New Roman"/>
                <w:sz w:val="24"/>
                <w:szCs w:val="24"/>
              </w:rPr>
              <w:t>1. Bu Yasa, Kamu Sağlık Çalışanları (Değişiklik No:2) Yasası olarak isimlendirilir ve aşağıda “Esas Yasa” olarak anılan Kamu Sağlık Çalışanları Yasası ile birlikte okunur.</w:t>
            </w:r>
          </w:p>
        </w:tc>
      </w:tr>
      <w:tr w:rsidR="00AB23F3" w:rsidTr="00AB23F3">
        <w:tc>
          <w:tcPr>
            <w:tcW w:w="1576" w:type="dxa"/>
          </w:tcPr>
          <w:p w:rsidR="00AB23F3" w:rsidRDefault="00AB23F3" w:rsidP="00AB23F3">
            <w:pPr>
              <w:rPr>
                <w:rFonts w:ascii="Times New Roman" w:hAnsi="Times New Roman"/>
                <w:sz w:val="24"/>
                <w:szCs w:val="24"/>
              </w:rPr>
            </w:pPr>
          </w:p>
        </w:tc>
        <w:tc>
          <w:tcPr>
            <w:tcW w:w="7712" w:type="dxa"/>
            <w:gridSpan w:val="5"/>
          </w:tcPr>
          <w:p w:rsidR="00AB23F3" w:rsidRDefault="00AB23F3" w:rsidP="00AB23F3">
            <w:pPr>
              <w:jc w:val="both"/>
              <w:rPr>
                <w:rFonts w:ascii="Times New Roman" w:hAnsi="Times New Roman"/>
                <w:sz w:val="24"/>
                <w:szCs w:val="24"/>
              </w:rPr>
            </w:pPr>
          </w:p>
        </w:tc>
      </w:tr>
      <w:tr w:rsidR="00AB23F3" w:rsidTr="00AB23F3">
        <w:tc>
          <w:tcPr>
            <w:tcW w:w="1576" w:type="dxa"/>
            <w:hideMark/>
          </w:tcPr>
          <w:p w:rsidR="00AB23F3" w:rsidRDefault="00AB23F3" w:rsidP="00AB23F3">
            <w:pPr>
              <w:rPr>
                <w:rFonts w:ascii="Times New Roman" w:hAnsi="Times New Roman"/>
                <w:sz w:val="24"/>
                <w:szCs w:val="24"/>
              </w:rPr>
            </w:pPr>
            <w:r>
              <w:rPr>
                <w:rFonts w:ascii="Times New Roman" w:hAnsi="Times New Roman"/>
                <w:sz w:val="24"/>
                <w:szCs w:val="24"/>
              </w:rPr>
              <w:t>Esas Yasanın 97’nci Maddesinin</w:t>
            </w:r>
          </w:p>
        </w:tc>
        <w:tc>
          <w:tcPr>
            <w:tcW w:w="7712" w:type="dxa"/>
            <w:gridSpan w:val="5"/>
            <w:hideMark/>
          </w:tcPr>
          <w:p w:rsidR="00AB23F3" w:rsidRDefault="00AB23F3" w:rsidP="00AB23F3">
            <w:pPr>
              <w:jc w:val="both"/>
              <w:rPr>
                <w:rFonts w:ascii="Times New Roman" w:hAnsi="Times New Roman"/>
                <w:sz w:val="24"/>
                <w:szCs w:val="24"/>
              </w:rPr>
            </w:pPr>
            <w:r>
              <w:rPr>
                <w:rFonts w:ascii="Times New Roman" w:hAnsi="Times New Roman"/>
                <w:sz w:val="24"/>
                <w:szCs w:val="24"/>
              </w:rPr>
              <w:t>2. Esas Yasa, 97’nci maddesinin (5)’inci fıkrasının (F) ve (G) bentleri kaldırılmak ve yerlerine sırasıyla aşağıdaki yeni (F) ve (G) bentleri konmak suretiyle değiştirilir.</w:t>
            </w:r>
          </w:p>
        </w:tc>
      </w:tr>
      <w:tr w:rsidR="00AB23F3" w:rsidTr="00AB23F3">
        <w:tc>
          <w:tcPr>
            <w:tcW w:w="1576" w:type="dxa"/>
            <w:hideMark/>
          </w:tcPr>
          <w:p w:rsidR="00AB23F3" w:rsidRDefault="00AB23F3" w:rsidP="00AB23F3">
            <w:pPr>
              <w:rPr>
                <w:rFonts w:ascii="Times New Roman" w:hAnsi="Times New Roman"/>
                <w:sz w:val="24"/>
                <w:szCs w:val="24"/>
              </w:rPr>
            </w:pPr>
            <w:r>
              <w:rPr>
                <w:rFonts w:ascii="Times New Roman" w:hAnsi="Times New Roman"/>
                <w:sz w:val="24"/>
                <w:szCs w:val="24"/>
              </w:rPr>
              <w:t>Değiştirilmesi</w:t>
            </w:r>
          </w:p>
        </w:tc>
        <w:tc>
          <w:tcPr>
            <w:tcW w:w="517" w:type="dxa"/>
          </w:tcPr>
          <w:p w:rsidR="00AB23F3" w:rsidRDefault="00AB23F3" w:rsidP="00AB23F3">
            <w:pPr>
              <w:jc w:val="both"/>
              <w:rPr>
                <w:rFonts w:ascii="Times New Roman" w:hAnsi="Times New Roman"/>
                <w:sz w:val="24"/>
                <w:szCs w:val="24"/>
              </w:rPr>
            </w:pPr>
          </w:p>
        </w:tc>
        <w:tc>
          <w:tcPr>
            <w:tcW w:w="7195" w:type="dxa"/>
            <w:gridSpan w:val="4"/>
          </w:tcPr>
          <w:p w:rsidR="00AB23F3" w:rsidRDefault="00AB23F3" w:rsidP="00AB23F3">
            <w:pPr>
              <w:jc w:val="both"/>
              <w:rPr>
                <w:rFonts w:ascii="Times New Roman" w:hAnsi="Times New Roman"/>
                <w:sz w:val="24"/>
                <w:szCs w:val="24"/>
              </w:rPr>
            </w:pPr>
          </w:p>
        </w:tc>
      </w:tr>
      <w:tr w:rsidR="00AB23F3" w:rsidTr="00AB23F3">
        <w:tc>
          <w:tcPr>
            <w:tcW w:w="1576" w:type="dxa"/>
            <w:hideMark/>
          </w:tcPr>
          <w:p w:rsidR="00AB23F3" w:rsidRDefault="00AB23F3" w:rsidP="00AB23F3"/>
        </w:tc>
        <w:tc>
          <w:tcPr>
            <w:tcW w:w="517" w:type="dxa"/>
          </w:tcPr>
          <w:p w:rsidR="00AB23F3" w:rsidRDefault="00AB23F3" w:rsidP="00AB23F3">
            <w:pPr>
              <w:jc w:val="both"/>
              <w:rPr>
                <w:rFonts w:ascii="Times New Roman" w:hAnsi="Times New Roman"/>
                <w:sz w:val="24"/>
                <w:szCs w:val="24"/>
              </w:rPr>
            </w:pPr>
          </w:p>
        </w:tc>
        <w:tc>
          <w:tcPr>
            <w:tcW w:w="709" w:type="dxa"/>
            <w:hideMark/>
          </w:tcPr>
          <w:p w:rsidR="00AB23F3" w:rsidRDefault="00AB23F3" w:rsidP="00AB23F3">
            <w:pPr>
              <w:rPr>
                <w:rFonts w:ascii="Times New Roman" w:hAnsi="Times New Roman"/>
                <w:sz w:val="24"/>
                <w:szCs w:val="24"/>
              </w:rPr>
            </w:pPr>
            <w:r>
              <w:rPr>
                <w:rFonts w:ascii="Times New Roman" w:hAnsi="Times New Roman"/>
                <w:sz w:val="24"/>
                <w:szCs w:val="24"/>
              </w:rPr>
              <w:t>“(F)</w:t>
            </w:r>
          </w:p>
        </w:tc>
        <w:tc>
          <w:tcPr>
            <w:tcW w:w="6486" w:type="dxa"/>
            <w:gridSpan w:val="3"/>
            <w:hideMark/>
          </w:tcPr>
          <w:p w:rsidR="00AB23F3" w:rsidRDefault="00AB23F3" w:rsidP="00AB23F3">
            <w:pPr>
              <w:jc w:val="both"/>
              <w:rPr>
                <w:rFonts w:ascii="Times New Roman" w:hAnsi="Times New Roman"/>
                <w:sz w:val="24"/>
                <w:szCs w:val="24"/>
              </w:rPr>
            </w:pPr>
            <w:r>
              <w:rPr>
                <w:rFonts w:ascii="Times New Roman" w:hAnsi="Times New Roman"/>
                <w:sz w:val="24"/>
                <w:szCs w:val="24"/>
              </w:rPr>
              <w:t>Bu Yasada belirtilen başka iş yapma yasağı ile ilgili kurallara aykırı davranışlarda bulunmak ve yazılı ihtar verilmesine karşın, ihtarın verildiği tarihten itibaren on beş iş günü sonra halen bu tür etkinlikleri sürdürmek;</w:t>
            </w:r>
          </w:p>
        </w:tc>
      </w:tr>
      <w:tr w:rsidR="00AB23F3" w:rsidTr="00AB23F3">
        <w:tc>
          <w:tcPr>
            <w:tcW w:w="1576" w:type="dxa"/>
          </w:tcPr>
          <w:p w:rsidR="00AB23F3" w:rsidRDefault="00AB23F3" w:rsidP="00AB23F3">
            <w:pPr>
              <w:rPr>
                <w:rFonts w:ascii="Times New Roman" w:hAnsi="Times New Roman"/>
                <w:sz w:val="24"/>
                <w:szCs w:val="24"/>
              </w:rPr>
            </w:pPr>
          </w:p>
        </w:tc>
        <w:tc>
          <w:tcPr>
            <w:tcW w:w="517" w:type="dxa"/>
          </w:tcPr>
          <w:p w:rsidR="00AB23F3" w:rsidRDefault="00AB23F3" w:rsidP="00AB23F3">
            <w:pPr>
              <w:jc w:val="both"/>
              <w:rPr>
                <w:rFonts w:ascii="Times New Roman" w:hAnsi="Times New Roman"/>
                <w:sz w:val="24"/>
                <w:szCs w:val="24"/>
              </w:rPr>
            </w:pPr>
          </w:p>
        </w:tc>
        <w:tc>
          <w:tcPr>
            <w:tcW w:w="709" w:type="dxa"/>
            <w:hideMark/>
          </w:tcPr>
          <w:p w:rsidR="00AB23F3" w:rsidRDefault="00AB23F3" w:rsidP="00AB23F3">
            <w:pPr>
              <w:rPr>
                <w:rFonts w:ascii="Times New Roman" w:hAnsi="Times New Roman"/>
                <w:sz w:val="24"/>
                <w:szCs w:val="24"/>
              </w:rPr>
            </w:pPr>
            <w:r>
              <w:rPr>
                <w:rFonts w:ascii="Times New Roman" w:hAnsi="Times New Roman"/>
                <w:sz w:val="24"/>
                <w:szCs w:val="24"/>
              </w:rPr>
              <w:t xml:space="preserve"> (G)</w:t>
            </w:r>
          </w:p>
        </w:tc>
        <w:tc>
          <w:tcPr>
            <w:tcW w:w="6486" w:type="dxa"/>
            <w:gridSpan w:val="3"/>
            <w:hideMark/>
          </w:tcPr>
          <w:p w:rsidR="00AB23F3" w:rsidRDefault="00AB23F3" w:rsidP="00AB23F3">
            <w:pPr>
              <w:jc w:val="both"/>
              <w:rPr>
                <w:rFonts w:ascii="Times New Roman" w:hAnsi="Times New Roman"/>
                <w:sz w:val="24"/>
                <w:szCs w:val="24"/>
              </w:rPr>
            </w:pPr>
            <w:r>
              <w:rPr>
                <w:rFonts w:ascii="Times New Roman" w:hAnsi="Times New Roman"/>
                <w:sz w:val="24"/>
                <w:szCs w:val="24"/>
              </w:rPr>
              <w:t>Ticaret ve kazanç getirici faaliyetlerde bulunma yasağına aykırı davranışlarda bulunmak ve yazılı ihtar verilmesine karşın, ihtarın verildiği tarihten itibaren on beş iş günü sonra halen bu tür etkinlikleri sürdürmek;”</w:t>
            </w:r>
          </w:p>
        </w:tc>
      </w:tr>
      <w:tr w:rsidR="00AB23F3" w:rsidTr="00AB23F3">
        <w:tc>
          <w:tcPr>
            <w:tcW w:w="1576" w:type="dxa"/>
          </w:tcPr>
          <w:p w:rsidR="00AB23F3" w:rsidRDefault="00AB23F3" w:rsidP="00AB23F3">
            <w:pPr>
              <w:rPr>
                <w:rFonts w:ascii="Times New Roman" w:hAnsi="Times New Roman"/>
                <w:sz w:val="24"/>
                <w:szCs w:val="24"/>
              </w:rPr>
            </w:pPr>
          </w:p>
        </w:tc>
        <w:tc>
          <w:tcPr>
            <w:tcW w:w="517" w:type="dxa"/>
          </w:tcPr>
          <w:p w:rsidR="00AB23F3" w:rsidRDefault="00AB23F3" w:rsidP="00AB23F3">
            <w:pPr>
              <w:jc w:val="both"/>
              <w:rPr>
                <w:rFonts w:ascii="Times New Roman" w:hAnsi="Times New Roman"/>
                <w:sz w:val="24"/>
                <w:szCs w:val="24"/>
              </w:rPr>
            </w:pPr>
          </w:p>
        </w:tc>
        <w:tc>
          <w:tcPr>
            <w:tcW w:w="709" w:type="dxa"/>
          </w:tcPr>
          <w:p w:rsidR="00AB23F3" w:rsidRDefault="00AB23F3" w:rsidP="00AB23F3">
            <w:pPr>
              <w:jc w:val="both"/>
              <w:rPr>
                <w:rFonts w:ascii="Times New Roman" w:hAnsi="Times New Roman"/>
                <w:sz w:val="24"/>
                <w:szCs w:val="24"/>
              </w:rPr>
            </w:pPr>
          </w:p>
        </w:tc>
        <w:tc>
          <w:tcPr>
            <w:tcW w:w="992" w:type="dxa"/>
          </w:tcPr>
          <w:p w:rsidR="00AB23F3" w:rsidRDefault="00AB23F3" w:rsidP="00AB23F3">
            <w:pPr>
              <w:jc w:val="both"/>
              <w:rPr>
                <w:rFonts w:ascii="Times New Roman" w:hAnsi="Times New Roman"/>
                <w:sz w:val="24"/>
                <w:szCs w:val="24"/>
              </w:rPr>
            </w:pPr>
          </w:p>
        </w:tc>
        <w:tc>
          <w:tcPr>
            <w:tcW w:w="850" w:type="dxa"/>
          </w:tcPr>
          <w:p w:rsidR="00AB23F3" w:rsidRDefault="00AB23F3" w:rsidP="00AB23F3">
            <w:pPr>
              <w:rPr>
                <w:rFonts w:ascii="Times New Roman" w:hAnsi="Times New Roman"/>
                <w:sz w:val="24"/>
                <w:szCs w:val="24"/>
              </w:rPr>
            </w:pPr>
          </w:p>
        </w:tc>
        <w:tc>
          <w:tcPr>
            <w:tcW w:w="4644" w:type="dxa"/>
          </w:tcPr>
          <w:p w:rsidR="00AB23F3" w:rsidRDefault="00AB23F3" w:rsidP="00AB23F3">
            <w:pPr>
              <w:jc w:val="both"/>
              <w:rPr>
                <w:rFonts w:ascii="Times New Roman" w:hAnsi="Times New Roman"/>
                <w:sz w:val="24"/>
                <w:szCs w:val="24"/>
              </w:rPr>
            </w:pPr>
          </w:p>
        </w:tc>
      </w:tr>
      <w:tr w:rsidR="00AB23F3" w:rsidTr="00AB23F3">
        <w:tc>
          <w:tcPr>
            <w:tcW w:w="1576" w:type="dxa"/>
            <w:hideMark/>
          </w:tcPr>
          <w:p w:rsidR="00AB23F3" w:rsidRDefault="00AB23F3" w:rsidP="00AB23F3">
            <w:pPr>
              <w:rPr>
                <w:rFonts w:ascii="Times New Roman" w:hAnsi="Times New Roman"/>
                <w:sz w:val="24"/>
                <w:szCs w:val="24"/>
              </w:rPr>
            </w:pPr>
            <w:r>
              <w:rPr>
                <w:rFonts w:ascii="Times New Roman" w:hAnsi="Times New Roman"/>
                <w:sz w:val="24"/>
                <w:szCs w:val="24"/>
              </w:rPr>
              <w:t>Yürürlüğe Giriş</w:t>
            </w:r>
          </w:p>
        </w:tc>
        <w:tc>
          <w:tcPr>
            <w:tcW w:w="7712" w:type="dxa"/>
            <w:gridSpan w:val="5"/>
            <w:hideMark/>
          </w:tcPr>
          <w:p w:rsidR="00AB23F3" w:rsidRDefault="00AB23F3" w:rsidP="00AB23F3">
            <w:pPr>
              <w:jc w:val="both"/>
              <w:rPr>
                <w:rFonts w:ascii="Times New Roman" w:hAnsi="Times New Roman"/>
                <w:sz w:val="24"/>
                <w:szCs w:val="24"/>
              </w:rPr>
            </w:pPr>
            <w:r>
              <w:rPr>
                <w:rFonts w:ascii="Times New Roman" w:hAnsi="Times New Roman"/>
                <w:sz w:val="24"/>
                <w:szCs w:val="24"/>
              </w:rPr>
              <w:t xml:space="preserve">3. Bu Yasa, Resmi </w:t>
            </w:r>
            <w:proofErr w:type="spellStart"/>
            <w:r>
              <w:rPr>
                <w:rFonts w:ascii="Times New Roman" w:hAnsi="Times New Roman"/>
                <w:sz w:val="24"/>
                <w:szCs w:val="24"/>
              </w:rPr>
              <w:t>Gazete’de</w:t>
            </w:r>
            <w:proofErr w:type="spellEnd"/>
            <w:r>
              <w:rPr>
                <w:rFonts w:ascii="Times New Roman" w:hAnsi="Times New Roman"/>
                <w:sz w:val="24"/>
                <w:szCs w:val="24"/>
              </w:rPr>
              <w:t xml:space="preserve"> yayımlandığı tarihten başlayarak yürürlüğe girer.</w:t>
            </w:r>
          </w:p>
        </w:tc>
      </w:tr>
    </w:tbl>
    <w:p w:rsidR="00555BAA" w:rsidRDefault="00555BAA" w:rsidP="00555BAA"/>
    <w:p w:rsidR="00555BAA" w:rsidRDefault="00555BAA" w:rsidP="00555BAA"/>
    <w:p w:rsidR="00456127" w:rsidRDefault="00456127"/>
    <w:sectPr w:rsidR="00456127" w:rsidSect="00AB23F3">
      <w:pgSz w:w="12240" w:h="15840"/>
      <w:pgMar w:top="1440" w:right="160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1A"/>
    <w:rsid w:val="00456127"/>
    <w:rsid w:val="00555BAA"/>
    <w:rsid w:val="00873C1A"/>
    <w:rsid w:val="00AB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AA"/>
    <w:rPr>
      <w:rFonts w:ascii="Calibri" w:eastAsia="Calibri" w:hAnsi="Calibri"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uiPriority w:val="59"/>
    <w:rsid w:val="00555BAA"/>
    <w:pPr>
      <w:spacing w:after="0" w:line="240" w:lineRule="auto"/>
    </w:pPr>
    <w:rPr>
      <w:rFonts w:ascii="Calibri" w:eastAsia="Times New Roman" w:hAnsi="Calibri" w:cs="Times New Roman"/>
      <w:lang w:val="tr-TR" w:eastAsia="tr-T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AA"/>
    <w:rPr>
      <w:rFonts w:ascii="Calibri" w:eastAsia="Calibri" w:hAnsi="Calibri"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uiPriority w:val="59"/>
    <w:rsid w:val="00555BAA"/>
    <w:pPr>
      <w:spacing w:after="0" w:line="240" w:lineRule="auto"/>
    </w:pPr>
    <w:rPr>
      <w:rFonts w:ascii="Calibri" w:eastAsia="Times New Roman" w:hAnsi="Calibri" w:cs="Times New Roman"/>
      <w:lang w:val="tr-TR" w:eastAsia="tr-T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4474">
      <w:bodyDiv w:val="1"/>
      <w:marLeft w:val="0"/>
      <w:marRight w:val="0"/>
      <w:marTop w:val="0"/>
      <w:marBottom w:val="0"/>
      <w:divBdr>
        <w:top w:val="none" w:sz="0" w:space="0" w:color="auto"/>
        <w:left w:val="none" w:sz="0" w:space="0" w:color="auto"/>
        <w:bottom w:val="none" w:sz="0" w:space="0" w:color="auto"/>
        <w:right w:val="none" w:sz="0" w:space="0" w:color="auto"/>
      </w:divBdr>
    </w:div>
    <w:div w:id="1852063600">
      <w:bodyDiv w:val="1"/>
      <w:marLeft w:val="0"/>
      <w:marRight w:val="0"/>
      <w:marTop w:val="0"/>
      <w:marBottom w:val="0"/>
      <w:divBdr>
        <w:top w:val="none" w:sz="0" w:space="0" w:color="auto"/>
        <w:left w:val="none" w:sz="0" w:space="0" w:color="auto"/>
        <w:bottom w:val="none" w:sz="0" w:space="0" w:color="auto"/>
        <w:right w:val="none" w:sz="0" w:space="0" w:color="auto"/>
      </w:divBdr>
    </w:div>
    <w:div w:id="202594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guliz.avkan</dc:creator>
  <cp:lastModifiedBy>gurkan artun</cp:lastModifiedBy>
  <cp:revision>2</cp:revision>
  <dcterms:created xsi:type="dcterms:W3CDTF">2018-04-19T13:16:00Z</dcterms:created>
  <dcterms:modified xsi:type="dcterms:W3CDTF">2018-04-19T13:16:00Z</dcterms:modified>
</cp:coreProperties>
</file>