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6A" w:rsidRDefault="007D0D6A" w:rsidP="00010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7D0D6A" w:rsidRPr="007D0D6A" w:rsidTr="00282831">
        <w:tc>
          <w:tcPr>
            <w:tcW w:w="9498" w:type="dxa"/>
          </w:tcPr>
          <w:p w:rsidR="007D0D6A" w:rsidRPr="007D0D6A" w:rsidRDefault="007D0D6A" w:rsidP="007D0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Kuzey Kıbrıs Türk Cumhuriyeti Cumhuriyet Meclisi’nin 29 Mayıs 2017 tarihli </w:t>
            </w:r>
            <w:proofErr w:type="spellStart"/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Altmışdokuzuncu</w:t>
            </w:r>
            <w:proofErr w:type="spellEnd"/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Birleşiminde Oybirliğiyle kabul olunan “</w:t>
            </w: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Görevlileri</w:t>
            </w:r>
            <w:r w:rsidRPr="007D0D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(Değişiklik) Yasası</w:t>
            </w:r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Anayasanın 94’üncü maddesinin (1)’inci fıkrası gereğince Kuzey Kıbrıs Türk Cumhuriyeti Cumhurbaşkanı tarafından Resmi </w:t>
            </w:r>
            <w:proofErr w:type="spellStart"/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yayımlanmak suretiyle ilan olunur.</w:t>
            </w:r>
          </w:p>
        </w:tc>
      </w:tr>
      <w:tr w:rsidR="007D0D6A" w:rsidRPr="007D0D6A" w:rsidTr="00282831">
        <w:tc>
          <w:tcPr>
            <w:tcW w:w="9498" w:type="dxa"/>
          </w:tcPr>
          <w:p w:rsidR="007D0D6A" w:rsidRPr="007D0D6A" w:rsidRDefault="007D0D6A" w:rsidP="007D0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7D0D6A" w:rsidRPr="007D0D6A" w:rsidRDefault="007D0D6A" w:rsidP="007D0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7D0D6A" w:rsidRPr="007D0D6A" w:rsidTr="00282831">
        <w:tc>
          <w:tcPr>
            <w:tcW w:w="9498" w:type="dxa"/>
          </w:tcPr>
          <w:p w:rsidR="007D0D6A" w:rsidRPr="007D0D6A" w:rsidRDefault="007D0D6A" w:rsidP="007D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  <w:r w:rsidRPr="007D0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/2017</w:t>
            </w:r>
          </w:p>
        </w:tc>
      </w:tr>
    </w:tbl>
    <w:p w:rsidR="007D0D6A" w:rsidRDefault="007D0D6A" w:rsidP="00010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032B" w:rsidRPr="0001032B" w:rsidRDefault="0001032B" w:rsidP="00010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032B">
        <w:rPr>
          <w:rFonts w:ascii="Times New Roman" w:eastAsia="Times New Roman" w:hAnsi="Times New Roman" w:cs="Times New Roman"/>
          <w:sz w:val="24"/>
          <w:szCs w:val="24"/>
          <w:lang w:eastAsia="tr-TR"/>
        </w:rPr>
        <w:t>KAMU GÖREVLİLERİ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(DEĞİŞİKLİK) YASASI</w:t>
      </w:r>
    </w:p>
    <w:p w:rsidR="0001032B" w:rsidRPr="0001032B" w:rsidRDefault="0001032B" w:rsidP="00010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1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36"/>
        <w:gridCol w:w="47"/>
        <w:gridCol w:w="426"/>
        <w:gridCol w:w="233"/>
        <w:gridCol w:w="425"/>
        <w:gridCol w:w="142"/>
        <w:gridCol w:w="142"/>
        <w:gridCol w:w="567"/>
        <w:gridCol w:w="142"/>
        <w:gridCol w:w="708"/>
        <w:gridCol w:w="426"/>
        <w:gridCol w:w="4192"/>
      </w:tblGrid>
      <w:tr w:rsidR="0001032B" w:rsidRPr="0001032B" w:rsidTr="008A1270">
        <w:tc>
          <w:tcPr>
            <w:tcW w:w="9262" w:type="dxa"/>
            <w:gridSpan w:val="13"/>
          </w:tcPr>
          <w:p w:rsidR="0001032B" w:rsidRPr="0001032B" w:rsidRDefault="0001032B" w:rsidP="000103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Kuzey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Kıbrıs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aşağıdaki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Yasayı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  <w:proofErr w:type="spellEnd"/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7/1979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3/1982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12/1982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44/1982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42/1983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5/1984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29/1984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50/1984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2/1985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10/1986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13/1986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30/1986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31/1987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11/1988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33/1988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13/1989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34/1989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73/1989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8/1990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42/1990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49/1990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11/1991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85/1991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11/1992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35/1992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3/1993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62/1993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10/1994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15/1994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 53/1994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18/1995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12/1996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19/1996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32/1996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16/1997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24/1997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13/1998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40/1998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6/1999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48/1999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4/2000 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15/2000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20/2001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43/2001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25/2002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60/2002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3/2003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43/2003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63/2003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69/2003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5/2004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35/2004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20/2005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32/2005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59/2005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10/2006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44/2006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72/2006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3/2007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57/2007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97/2007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11/2008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23/2008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34/2008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54/2008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82/2009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48/2010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3/2011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13/2011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20/2013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34/2013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19/2014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3/2015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48/2015</w:t>
            </w: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1. Bu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isimlendirilir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anılan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birlikte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okunur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kaldırılmak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aşağıdaki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konmak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suretiyle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değiştirilir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gridSpan w:val="8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18" w:type="dxa"/>
            <w:gridSpan w:val="2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Değiştirilmesi</w:t>
            </w:r>
            <w:proofErr w:type="spellEnd"/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“(2)</w:t>
            </w: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(A)</w:t>
            </w:r>
          </w:p>
        </w:tc>
        <w:tc>
          <w:tcPr>
            <w:tcW w:w="6035" w:type="dxa"/>
            <w:gridSpan w:val="5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hizmetlerinin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lastRenderedPageBreak/>
              <w:t>özelliği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dikkate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alınarak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olarak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,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01032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tr-TR" w:bidi="tr-TR"/>
              </w:rPr>
              <w:t>%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10’u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.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emeklilik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amaçları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bakımından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maaşlarla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bütünlendirilerek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dikkate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alınır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emeklilik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buna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göre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hesaplanır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47/2010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33/2013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18/2014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4/2015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46/2015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(B)</w:t>
            </w:r>
          </w:p>
        </w:tc>
        <w:tc>
          <w:tcPr>
            <w:tcW w:w="6035" w:type="dxa"/>
            <w:gridSpan w:val="5"/>
          </w:tcPr>
          <w:p w:rsidR="0001032B" w:rsidRPr="0001032B" w:rsidRDefault="0001032B" w:rsidP="0001032B">
            <w:pPr>
              <w:widowControl w:val="0"/>
              <w:tabs>
                <w:tab w:val="left" w:pos="4070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Kamu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Çalışanlarının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Aylık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Maaş-Ücret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Diğer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Ödeneklerin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Düzenlenmesi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uyarınca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çalışan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yukarıdaki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belirtilen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uygulanmaz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olarak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,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%7,5’i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Özel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Tahsisat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.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Özel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Tahsisat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emeklilik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amaçları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bakımından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dikkate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alınmaz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.</w:t>
            </w:r>
          </w:p>
        </w:tc>
      </w:tr>
      <w:tr w:rsidR="0001032B" w:rsidRPr="0001032B" w:rsidTr="008A1270">
        <w:trPr>
          <w:trHeight w:val="1144"/>
        </w:trPr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73/2007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80/2009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4/2010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5/2012</w:t>
            </w:r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(C)</w:t>
            </w:r>
          </w:p>
        </w:tc>
        <w:tc>
          <w:tcPr>
            <w:tcW w:w="6177" w:type="dxa"/>
            <w:gridSpan w:val="6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kurallarına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hizmetlerin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özelliği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dikkate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Bu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bakımından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dikkate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26/2013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36/2015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31/2017</w:t>
            </w:r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6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</w:tcPr>
          <w:p w:rsidR="0001032B" w:rsidRPr="0001032B" w:rsidRDefault="0001032B" w:rsidP="0001032B">
            <w:pPr>
              <w:widowControl w:val="0"/>
              <w:tabs>
                <w:tab w:val="left" w:pos="7881"/>
              </w:tabs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6177" w:type="dxa"/>
            <w:gridSpan w:val="6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Maaş-Ücret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Ödeneklerinin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tahtında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istihdam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Yataklı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Tedavi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Esasları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asistan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yararlanamaz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.”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gridSpan w:val="8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2" w:type="dxa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</w:t>
            </w:r>
            <w:proofErr w:type="spellEnd"/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İlişkin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Kurallar</w:t>
            </w:r>
            <w:proofErr w:type="spellEnd"/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istihdam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girdiği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tarihten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başlayarak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işleriyle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Bakanlığa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başvurmak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suretiyle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kullanabilir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kullanmayan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(1)’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belirtilenleri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etmiş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sayılır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6977" w:type="dxa"/>
            <w:gridSpan w:val="9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kurallarının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uygulanmasını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6977" w:type="dxa"/>
            <w:gridSpan w:val="9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(C)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bentlerinde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ödeneklerin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aşağıdaki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şekilde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kademeli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uygulanmasını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319" w:type="dxa"/>
            <w:gridSpan w:val="7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– 31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%15.8’i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319" w:type="dxa"/>
            <w:gridSpan w:val="7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2022 – 31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2026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,</w:t>
            </w: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%18.3’ü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%7.5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6319" w:type="dxa"/>
            <w:gridSpan w:val="7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2027 – 31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2031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%20.8’i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%5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(Ç)</w:t>
            </w:r>
          </w:p>
        </w:tc>
        <w:tc>
          <w:tcPr>
            <w:tcW w:w="6319" w:type="dxa"/>
            <w:gridSpan w:val="7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2032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itibaren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maaşlarının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%25.8’i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oranında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uygulanmaz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.”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3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7" w:type="dxa"/>
            <w:gridSpan w:val="9"/>
          </w:tcPr>
          <w:p w:rsidR="0001032B" w:rsidRPr="0001032B" w:rsidRDefault="00550F54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Ancak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Ödeneği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amaçları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bakımından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dikkate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alınmaz</w:t>
            </w:r>
            <w:proofErr w:type="spellEnd"/>
            <w:r w:rsidR="0001032B"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  <w:gridSpan w:val="5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18" w:type="dxa"/>
            <w:gridSpan w:val="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10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Geçici Madde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Mevzuat Uyarınca Başka Görevlerde Bulunan Hekim, Diş Hekimi ve Veteriner Hekimlere İlişkin Kurallar </w:t>
            </w:r>
          </w:p>
          <w:p w:rsidR="0001032B" w:rsidRPr="0001032B" w:rsidRDefault="0001032B" w:rsidP="000103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52/1987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33/1992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15/2002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5/1976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29/1977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1/1980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4/1980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12/1981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17/1985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19/1985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15/1986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16/1986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60/1988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17/1990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33/1990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52/1991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78/1991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46/1993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58/1993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59/1993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2/1994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12/1994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12/1998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48/1998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14/2002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24/2010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33/2016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53/1977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    12/1980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7/1981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51/1982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24/1983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43/1983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2/1984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20/1986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4/1987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49/1987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50/1987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33/1989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61/1989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41/1990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30/1991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31/1992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16/1994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5/1995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6/1998</w:t>
            </w:r>
          </w:p>
          <w:p w:rsidR="0001032B" w:rsidRPr="0001032B" w:rsidRDefault="0001032B" w:rsidP="0001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21/1999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19/2001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23/2005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22/2006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66/2006</w:t>
            </w:r>
          </w:p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75/2007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8/2010</w:t>
            </w:r>
          </w:p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25/2017</w:t>
            </w: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 Bu (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girdiği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tarihten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sonra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Siyasal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Yasasına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Kademe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atanmış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atanmış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görevlendirilmiş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Halkoylaması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mevzuat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seçilmiş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erdikten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sonra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görevine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dönmesi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otuz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kullanabilir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kullanmayan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,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diş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hekimi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veteriner</w:t>
            </w:r>
            <w:proofErr w:type="spellEnd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55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hekim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35’inci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fıkrasının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bendinde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belirtilenleri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tercih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etmiş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sayılır</w:t>
            </w:r>
            <w:proofErr w:type="spellEnd"/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  <w:gridSpan w:val="5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gridSpan w:val="2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18" w:type="dxa"/>
            <w:gridSpan w:val="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032B" w:rsidRPr="0001032B" w:rsidTr="008A1270">
        <w:tc>
          <w:tcPr>
            <w:tcW w:w="1576" w:type="dxa"/>
          </w:tcPr>
          <w:p w:rsidR="0001032B" w:rsidRPr="0001032B" w:rsidRDefault="0001032B" w:rsidP="000103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Yürürlüğe Giriş </w:t>
            </w:r>
          </w:p>
        </w:tc>
        <w:tc>
          <w:tcPr>
            <w:tcW w:w="7686" w:type="dxa"/>
            <w:gridSpan w:val="12"/>
          </w:tcPr>
          <w:p w:rsidR="0001032B" w:rsidRPr="0001032B" w:rsidRDefault="0001032B" w:rsidP="0001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  <w:r w:rsidRPr="00010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Bu Yasa, Resmi Gazete’de yayımlandığı tarihten başlayarak yürürlüğe girer.</w:t>
            </w:r>
          </w:p>
        </w:tc>
      </w:tr>
    </w:tbl>
    <w:p w:rsidR="0001032B" w:rsidRPr="0001032B" w:rsidRDefault="0001032B" w:rsidP="0001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032B" w:rsidRPr="0001032B" w:rsidRDefault="0001032B" w:rsidP="0001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428F" w:rsidRPr="0001032B" w:rsidRDefault="00F1428F" w:rsidP="0001032B"/>
    <w:sectPr w:rsidR="00F1428F" w:rsidRPr="0001032B" w:rsidSect="000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2B"/>
    <w:rsid w:val="0001032B"/>
    <w:rsid w:val="00550F54"/>
    <w:rsid w:val="007D0D6A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1032B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1032B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guliz.avkan</cp:lastModifiedBy>
  <cp:revision>3</cp:revision>
  <dcterms:created xsi:type="dcterms:W3CDTF">2017-05-29T10:28:00Z</dcterms:created>
  <dcterms:modified xsi:type="dcterms:W3CDTF">2017-07-04T08:34:00Z</dcterms:modified>
</cp:coreProperties>
</file>