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E" w:rsidRPr="000752BE" w:rsidRDefault="000752BE" w:rsidP="000752BE">
      <w:pPr>
        <w:jc w:val="both"/>
        <w:rPr>
          <w:rFonts w:ascii="Times New Roman" w:hAnsi="Times New Roman" w:cs="Times New Roman"/>
          <w:sz w:val="24"/>
          <w:szCs w:val="24"/>
        </w:rPr>
      </w:pPr>
      <w:r w:rsidRPr="000752BE">
        <w:rPr>
          <w:rFonts w:ascii="Times New Roman" w:hAnsi="Times New Roman" w:cs="Times New Roman"/>
          <w:sz w:val="24"/>
          <w:szCs w:val="24"/>
        </w:rPr>
        <w:t xml:space="preserve">Kuzey Kıbrıs Türk Cumhuriyeti Cumhuriyet Meclisi'nin 4 Mart 2019 tarihli </w:t>
      </w:r>
      <w:proofErr w:type="spellStart"/>
      <w:r w:rsidRPr="000752BE">
        <w:rPr>
          <w:rFonts w:ascii="Times New Roman" w:hAnsi="Times New Roman" w:cs="Times New Roman"/>
          <w:sz w:val="24"/>
          <w:szCs w:val="24"/>
        </w:rPr>
        <w:t>Kırkdördüncü</w:t>
      </w:r>
      <w:proofErr w:type="spellEnd"/>
      <w:r w:rsidRPr="000752BE">
        <w:rPr>
          <w:rFonts w:ascii="Times New Roman" w:hAnsi="Times New Roman" w:cs="Times New Roman"/>
          <w:sz w:val="24"/>
          <w:szCs w:val="24"/>
        </w:rPr>
        <w:t xml:space="preserve"> Birleşiminde Oybirliğiyle kabul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BE">
        <w:rPr>
          <w:rFonts w:ascii="Times New Roman" w:hAnsi="Times New Roman" w:cs="Times New Roman"/>
          <w:sz w:val="24"/>
          <w:szCs w:val="24"/>
        </w:rPr>
        <w:t xml:space="preserve">olunan "Kurumlar Vergisi (Değişiklik) Yasası" Anayasanın 94'üncü maddesinin (1)'inci fıkrası gereğince Kuzey Kıbrıs Türk Cumhuriyeti Cumhurbaşkanı tarafından Resmi </w:t>
      </w:r>
      <w:proofErr w:type="spellStart"/>
      <w:r w:rsidRPr="000752BE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0752BE">
        <w:rPr>
          <w:rFonts w:ascii="Times New Roman" w:hAnsi="Times New Roman" w:cs="Times New Roman"/>
          <w:sz w:val="24"/>
          <w:szCs w:val="24"/>
        </w:rPr>
        <w:t xml:space="preserve"> yayımlanmak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2BE">
        <w:rPr>
          <w:rFonts w:ascii="Times New Roman" w:hAnsi="Times New Roman" w:cs="Times New Roman"/>
          <w:sz w:val="24"/>
          <w:szCs w:val="24"/>
        </w:rPr>
        <w:t>suretiyle ilan olunur.</w:t>
      </w:r>
    </w:p>
    <w:p w:rsidR="000752BE" w:rsidRDefault="000752BE" w:rsidP="009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 15/2019</w:t>
      </w:r>
    </w:p>
    <w:p w:rsidR="000752BE" w:rsidRDefault="000752BE" w:rsidP="009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AA6" w:rsidRPr="00CC3182" w:rsidRDefault="009A5A0B" w:rsidP="009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182">
        <w:rPr>
          <w:rFonts w:ascii="Times New Roman" w:hAnsi="Times New Roman" w:cs="Times New Roman"/>
          <w:sz w:val="24"/>
          <w:szCs w:val="24"/>
        </w:rPr>
        <w:t>KURUMLAR VERGİSİ (DEĞİŞİKLİK) YASA</w:t>
      </w:r>
      <w:r w:rsidR="00154A5B">
        <w:rPr>
          <w:rFonts w:ascii="Times New Roman" w:hAnsi="Times New Roman" w:cs="Times New Roman"/>
          <w:sz w:val="24"/>
          <w:szCs w:val="24"/>
        </w:rPr>
        <w:t>SI</w:t>
      </w:r>
      <w:r w:rsidRPr="00CC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A0B" w:rsidRPr="00CC3182" w:rsidRDefault="009A5A0B" w:rsidP="009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A0B" w:rsidRPr="00CC3182" w:rsidRDefault="009A5A0B" w:rsidP="009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36"/>
        <w:gridCol w:w="709"/>
        <w:gridCol w:w="567"/>
        <w:gridCol w:w="6410"/>
      </w:tblGrid>
      <w:tr w:rsidR="00B5539F" w:rsidRPr="00CC3182" w:rsidTr="00B5539F">
        <w:tc>
          <w:tcPr>
            <w:tcW w:w="1668" w:type="dxa"/>
          </w:tcPr>
          <w:p w:rsidR="00B5539F" w:rsidRPr="00CC3182" w:rsidRDefault="00B5539F" w:rsidP="009A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2" w:type="dxa"/>
            <w:gridSpan w:val="4"/>
          </w:tcPr>
          <w:p w:rsidR="00B5539F" w:rsidRPr="00CC3182" w:rsidRDefault="00B5539F" w:rsidP="00D2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ab/>
              <w:t>Kuzey Kıbrıs Türk Cumhuriyeti Cumhuriyet Meclisi aşağıdaki Yasayı yapar:</w:t>
            </w:r>
          </w:p>
          <w:p w:rsidR="00B5539F" w:rsidRPr="00CC3182" w:rsidRDefault="00B5539F" w:rsidP="00D2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F" w:rsidRPr="00CC3182" w:rsidTr="00B5539F">
        <w:tc>
          <w:tcPr>
            <w:tcW w:w="1668" w:type="dxa"/>
          </w:tcPr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41/1976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24/1977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62/1977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11/1980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35/1983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36/1987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70/1993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38/2003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10/2004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16/2007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18/2013</w:t>
            </w:r>
          </w:p>
          <w:p w:rsidR="006E0FE5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37/2014</w:t>
            </w:r>
          </w:p>
        </w:tc>
        <w:tc>
          <w:tcPr>
            <w:tcW w:w="7922" w:type="dxa"/>
            <w:gridSpan w:val="4"/>
          </w:tcPr>
          <w:p w:rsidR="00B5539F" w:rsidRPr="00CC3182" w:rsidRDefault="00B5539F" w:rsidP="00D22812">
            <w:pPr>
              <w:pStyle w:val="Title"/>
              <w:jc w:val="both"/>
              <w:rPr>
                <w:sz w:val="24"/>
              </w:rPr>
            </w:pPr>
            <w:r w:rsidRPr="00CC3182">
              <w:rPr>
                <w:sz w:val="24"/>
              </w:rPr>
              <w:t>1. Bu Yasa, Kurumlar Vergisi (Değişiklik) Yasası olarak isimlendirilir ve aşağıda “Esas Yasa” olarak anılan Kurumlar Vergisi Yasası ile birlikte okunur.</w:t>
            </w:r>
          </w:p>
          <w:p w:rsidR="00B5539F" w:rsidRPr="00CC3182" w:rsidRDefault="00B5539F" w:rsidP="00D22812">
            <w:pPr>
              <w:jc w:val="both"/>
              <w:rPr>
                <w:sz w:val="24"/>
                <w:szCs w:val="24"/>
              </w:rPr>
            </w:pPr>
          </w:p>
        </w:tc>
      </w:tr>
      <w:tr w:rsidR="008478A0" w:rsidRPr="00CC3182" w:rsidTr="00B5539F">
        <w:tc>
          <w:tcPr>
            <w:tcW w:w="1668" w:type="dxa"/>
          </w:tcPr>
          <w:p w:rsidR="008478A0" w:rsidRPr="00CC3182" w:rsidRDefault="008478A0" w:rsidP="0084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2" w:type="dxa"/>
            <w:gridSpan w:val="4"/>
          </w:tcPr>
          <w:p w:rsidR="008478A0" w:rsidRPr="00CC3182" w:rsidRDefault="008478A0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A0" w:rsidRPr="00CC3182" w:rsidTr="00B5539F">
        <w:tc>
          <w:tcPr>
            <w:tcW w:w="1668" w:type="dxa"/>
          </w:tcPr>
          <w:p w:rsidR="008478A0" w:rsidRPr="00CC3182" w:rsidRDefault="00B5539F" w:rsidP="00B5539F">
            <w:pPr>
              <w:pStyle w:val="Title"/>
              <w:jc w:val="left"/>
              <w:rPr>
                <w:sz w:val="24"/>
              </w:rPr>
            </w:pPr>
            <w:r w:rsidRPr="00CC3182">
              <w:rPr>
                <w:sz w:val="24"/>
              </w:rPr>
              <w:t>Esas Yasanın 8’inci</w:t>
            </w:r>
          </w:p>
        </w:tc>
        <w:tc>
          <w:tcPr>
            <w:tcW w:w="7922" w:type="dxa"/>
            <w:gridSpan w:val="4"/>
          </w:tcPr>
          <w:p w:rsidR="008478A0" w:rsidRPr="00CC3182" w:rsidRDefault="008478A0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2. Esas Yasa, 8’inci maddesinin (6)’</w:t>
            </w:r>
            <w:proofErr w:type="spellStart"/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ncı</w:t>
            </w:r>
            <w:proofErr w:type="spellEnd"/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fıkrasından hemen sonra aşağıdaki yeni (7)’</w:t>
            </w:r>
            <w:proofErr w:type="spellStart"/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fıkra eklenmek suretiyle değiştirilir:</w:t>
            </w:r>
          </w:p>
        </w:tc>
      </w:tr>
      <w:tr w:rsidR="00B5539F" w:rsidRPr="00CC3182" w:rsidTr="00B5539F">
        <w:tc>
          <w:tcPr>
            <w:tcW w:w="1668" w:type="dxa"/>
          </w:tcPr>
          <w:p w:rsidR="00B5539F" w:rsidRPr="00CC3182" w:rsidRDefault="00B5539F" w:rsidP="00B5539F">
            <w:pPr>
              <w:pStyle w:val="Title"/>
              <w:jc w:val="left"/>
              <w:rPr>
                <w:sz w:val="24"/>
              </w:rPr>
            </w:pPr>
            <w:r w:rsidRPr="00CC3182">
              <w:rPr>
                <w:sz w:val="24"/>
              </w:rPr>
              <w:t>Maddesinin</w:t>
            </w:r>
          </w:p>
        </w:tc>
        <w:tc>
          <w:tcPr>
            <w:tcW w:w="7922" w:type="dxa"/>
            <w:gridSpan w:val="4"/>
          </w:tcPr>
          <w:p w:rsidR="00B5539F" w:rsidRPr="00CC3182" w:rsidRDefault="00B5539F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F" w:rsidRPr="00CC3182" w:rsidTr="00B5539F">
        <w:tc>
          <w:tcPr>
            <w:tcW w:w="1668" w:type="dxa"/>
          </w:tcPr>
          <w:p w:rsidR="00B5539F" w:rsidRPr="00CC3182" w:rsidRDefault="00B5539F" w:rsidP="00D2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  <w:p w:rsidR="00A96DD9" w:rsidRPr="00CC3182" w:rsidRDefault="00A96DD9" w:rsidP="00D2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42/2018</w:t>
            </w:r>
          </w:p>
        </w:tc>
        <w:tc>
          <w:tcPr>
            <w:tcW w:w="236" w:type="dxa"/>
          </w:tcPr>
          <w:p w:rsidR="00B5539F" w:rsidRPr="00CC3182" w:rsidRDefault="00B5539F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539F" w:rsidRPr="00CC3182" w:rsidRDefault="00B5539F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“(7)</w:t>
            </w:r>
          </w:p>
        </w:tc>
        <w:tc>
          <w:tcPr>
            <w:tcW w:w="567" w:type="dxa"/>
          </w:tcPr>
          <w:p w:rsidR="00B5539F" w:rsidRPr="00CC3182" w:rsidRDefault="00B5539F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410" w:type="dxa"/>
          </w:tcPr>
          <w:p w:rsidR="00B5539F" w:rsidRPr="00CC3182" w:rsidRDefault="000C11F5" w:rsidP="0014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Teknoloji Geliştirme Bölgeleri Yasası uyarınca kurulan bölge</w:t>
            </w:r>
            <w:r w:rsidR="00143DD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in yönetimi ve işletmesinden sorumlu yönetici şirket</w:t>
            </w:r>
            <w:r w:rsidR="00143DD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 xml:space="preserve"> ile aynı Yasa kapsamında bölgelerde faaliyet gösteren kurumların</w:t>
            </w:r>
            <w:r w:rsidR="00061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0DD">
              <w:rPr>
                <w:rFonts w:ascii="Times New Roman" w:hAnsi="Times New Roman" w:cs="Times New Roman"/>
                <w:sz w:val="24"/>
                <w:szCs w:val="24"/>
              </w:rPr>
              <w:t xml:space="preserve"> bölgenin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 xml:space="preserve"> faaliyete geçtiği tarihten başlayarak münhasıran bu bölgelerdeki yazılım, araştırma ve geliştirme faaliyetlerinden elde ettikleri kazançları</w:t>
            </w:r>
            <w:r w:rsidR="00BB4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72" w:rsidRPr="00CC3182">
              <w:rPr>
                <w:rFonts w:ascii="Times New Roman" w:hAnsi="Times New Roman" w:cs="Times New Roman"/>
                <w:sz w:val="24"/>
                <w:szCs w:val="24"/>
              </w:rPr>
              <w:t>otuz yıl süre ile sınırlı olmak koşuluyla</w:t>
            </w:r>
            <w:r w:rsidR="00BB4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72" w:rsidRPr="00CC3182">
              <w:rPr>
                <w:rFonts w:ascii="Times New Roman" w:hAnsi="Times New Roman" w:cs="Times New Roman"/>
                <w:sz w:val="24"/>
                <w:szCs w:val="24"/>
              </w:rPr>
              <w:t>bu Yasa kuralları uyarınca uygulanan ver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>giden istisna tutulur;</w:t>
            </w:r>
            <w:proofErr w:type="gramEnd"/>
          </w:p>
        </w:tc>
      </w:tr>
      <w:tr w:rsidR="00527FFA" w:rsidRPr="00CC3182" w:rsidTr="00B5539F">
        <w:tc>
          <w:tcPr>
            <w:tcW w:w="1668" w:type="dxa"/>
          </w:tcPr>
          <w:p w:rsidR="00527FFA" w:rsidRPr="00CC3182" w:rsidRDefault="00527FFA" w:rsidP="00D228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FFA" w:rsidRPr="00CC3182" w:rsidRDefault="00527FFA" w:rsidP="00D22812">
            <w:pPr>
              <w:rPr>
                <w:rFonts w:ascii="Times New Roman" w:hAnsi="Times New Roman"/>
                <w:sz w:val="24"/>
                <w:szCs w:val="24"/>
              </w:rPr>
            </w:pPr>
            <w:r w:rsidRPr="00CC3182">
              <w:rPr>
                <w:rFonts w:ascii="Times New Roman" w:hAnsi="Times New Roman"/>
                <w:sz w:val="24"/>
                <w:szCs w:val="24"/>
              </w:rPr>
              <w:t>27/1977</w:t>
            </w:r>
          </w:p>
          <w:p w:rsidR="00527FFA" w:rsidRPr="00CC3182" w:rsidRDefault="00527FFA" w:rsidP="00D22812">
            <w:pPr>
              <w:rPr>
                <w:rFonts w:ascii="Times New Roman" w:hAnsi="Times New Roman"/>
                <w:sz w:val="24"/>
                <w:szCs w:val="24"/>
              </w:rPr>
            </w:pPr>
            <w:r w:rsidRPr="00CC3182">
              <w:rPr>
                <w:rFonts w:ascii="Times New Roman" w:hAnsi="Times New Roman"/>
                <w:sz w:val="24"/>
                <w:szCs w:val="24"/>
              </w:rPr>
              <w:t xml:space="preserve">   13/1980</w:t>
            </w:r>
          </w:p>
          <w:p w:rsidR="00527FFA" w:rsidRPr="00CC3182" w:rsidRDefault="00527FFA" w:rsidP="00D22812">
            <w:pPr>
              <w:rPr>
                <w:rFonts w:ascii="Times New Roman" w:hAnsi="Times New Roman"/>
                <w:sz w:val="24"/>
                <w:szCs w:val="24"/>
              </w:rPr>
            </w:pPr>
            <w:r w:rsidRPr="00CC3182">
              <w:rPr>
                <w:rFonts w:ascii="Times New Roman" w:hAnsi="Times New Roman"/>
                <w:sz w:val="24"/>
                <w:szCs w:val="24"/>
              </w:rPr>
              <w:t xml:space="preserve">   24/2015</w:t>
            </w:r>
          </w:p>
          <w:p w:rsidR="00FA0AD0" w:rsidRPr="00CC3182" w:rsidRDefault="00527FFA" w:rsidP="00475C72">
            <w:pPr>
              <w:rPr>
                <w:rFonts w:ascii="Times New Roman" w:hAnsi="Times New Roman"/>
                <w:sz w:val="24"/>
                <w:szCs w:val="24"/>
              </w:rPr>
            </w:pPr>
            <w:r w:rsidRPr="00CC3182">
              <w:rPr>
                <w:rFonts w:ascii="Times New Roman" w:hAnsi="Times New Roman"/>
                <w:sz w:val="24"/>
                <w:szCs w:val="24"/>
              </w:rPr>
              <w:t xml:space="preserve">   50/2017</w:t>
            </w:r>
          </w:p>
        </w:tc>
        <w:tc>
          <w:tcPr>
            <w:tcW w:w="236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FFA" w:rsidRPr="00CC3182" w:rsidRDefault="00527FFA" w:rsidP="0047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10" w:type="dxa"/>
          </w:tcPr>
          <w:p w:rsidR="00527FFA" w:rsidRPr="00CC3182" w:rsidRDefault="00527FFA" w:rsidP="00061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Yukarıdaki </w:t>
            </w:r>
            <w:r w:rsidR="00BB4BD0">
              <w:rPr>
                <w:rFonts w:ascii="Times New Roman" w:hAnsi="Times New Roman" w:cs="Times New Roman"/>
                <w:sz w:val="24"/>
                <w:szCs w:val="24"/>
              </w:rPr>
              <w:t>(A) bendinde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öngörülen istisnadan yararlanabilmek için Vergi Usul Yasası kuralları uyarınca bilanço esasına göre hesap tutulması ve bölge</w:t>
            </w:r>
            <w:r w:rsidR="00143DD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deki 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 xml:space="preserve">gelirin diğer 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faaliyetlerden elde edilen gelirlerden ayrı olarak hesaplarda gösterilmesi koşuldur.</w:t>
            </w:r>
          </w:p>
        </w:tc>
      </w:tr>
      <w:tr w:rsidR="00527FFA" w:rsidRPr="00CC3182" w:rsidTr="00B5539F">
        <w:tc>
          <w:tcPr>
            <w:tcW w:w="1668" w:type="dxa"/>
          </w:tcPr>
          <w:p w:rsidR="00527FFA" w:rsidRDefault="00527FFA" w:rsidP="0084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21" w:rsidRPr="00CC3182" w:rsidRDefault="00767221" w:rsidP="0084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FFA" w:rsidRPr="00CC3182" w:rsidRDefault="00475C72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527FFA" w:rsidRPr="00CC3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10" w:type="dxa"/>
          </w:tcPr>
          <w:p w:rsidR="00527FFA" w:rsidRPr="00CC3182" w:rsidRDefault="00527FFA" w:rsidP="0042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Bu madde amaçları bakımından bölge ve yönetici şirket Teknoloji Geliştirme Bölgeleri Yasası</w:t>
            </w:r>
            <w:r w:rsidR="004201AC">
              <w:rPr>
                <w:rFonts w:ascii="Times New Roman" w:hAnsi="Times New Roman" w:cs="Times New Roman"/>
                <w:sz w:val="24"/>
                <w:szCs w:val="24"/>
              </w:rPr>
              <w:t>ndaki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anlamı taşır.”</w:t>
            </w:r>
          </w:p>
        </w:tc>
      </w:tr>
      <w:tr w:rsidR="00527FFA" w:rsidRPr="00CC3182" w:rsidTr="00B5539F">
        <w:tc>
          <w:tcPr>
            <w:tcW w:w="1668" w:type="dxa"/>
          </w:tcPr>
          <w:p w:rsidR="00527FFA" w:rsidRPr="00CC3182" w:rsidRDefault="00527FFA" w:rsidP="0084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gridSpan w:val="2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FA" w:rsidRPr="00CC3182" w:rsidTr="00613D9C">
        <w:tc>
          <w:tcPr>
            <w:tcW w:w="1668" w:type="dxa"/>
          </w:tcPr>
          <w:p w:rsidR="00527FFA" w:rsidRPr="00CC3182" w:rsidRDefault="00527FFA" w:rsidP="0084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922" w:type="dxa"/>
            <w:gridSpan w:val="4"/>
          </w:tcPr>
          <w:p w:rsidR="00527FFA" w:rsidRPr="00CC3182" w:rsidRDefault="00BD441F" w:rsidP="00E56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7FFA"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Bu Yasa, Resmi </w:t>
            </w:r>
            <w:proofErr w:type="spellStart"/>
            <w:r w:rsidR="00527FFA" w:rsidRPr="00CC3182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="00527FFA"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yayımlandığı tarihi izleyen ayın başından başlayarak yürürlüğe girer.</w:t>
            </w:r>
          </w:p>
        </w:tc>
      </w:tr>
    </w:tbl>
    <w:p w:rsidR="009A5A0B" w:rsidRPr="00CC3182" w:rsidRDefault="009A5A0B" w:rsidP="009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5A0B" w:rsidRPr="00CC3182" w:rsidSect="00BE4E2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D5E"/>
    <w:multiLevelType w:val="hybridMultilevel"/>
    <w:tmpl w:val="EF9A9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4A07"/>
    <w:multiLevelType w:val="hybridMultilevel"/>
    <w:tmpl w:val="E05E0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0B"/>
    <w:rsid w:val="00061982"/>
    <w:rsid w:val="000752BE"/>
    <w:rsid w:val="000A3790"/>
    <w:rsid w:val="000C11F5"/>
    <w:rsid w:val="000F49B5"/>
    <w:rsid w:val="00120276"/>
    <w:rsid w:val="00143DD0"/>
    <w:rsid w:val="00154A5B"/>
    <w:rsid w:val="00256D12"/>
    <w:rsid w:val="00284158"/>
    <w:rsid w:val="003F286E"/>
    <w:rsid w:val="0040040A"/>
    <w:rsid w:val="004201AC"/>
    <w:rsid w:val="00475C72"/>
    <w:rsid w:val="0049696B"/>
    <w:rsid w:val="00527FFA"/>
    <w:rsid w:val="00570290"/>
    <w:rsid w:val="00597335"/>
    <w:rsid w:val="005A1D83"/>
    <w:rsid w:val="006669F1"/>
    <w:rsid w:val="006E0FE5"/>
    <w:rsid w:val="00767221"/>
    <w:rsid w:val="007920DD"/>
    <w:rsid w:val="007E7288"/>
    <w:rsid w:val="008478A0"/>
    <w:rsid w:val="00962D9A"/>
    <w:rsid w:val="00982382"/>
    <w:rsid w:val="009A5A0B"/>
    <w:rsid w:val="00A96DD9"/>
    <w:rsid w:val="00B1052C"/>
    <w:rsid w:val="00B5539F"/>
    <w:rsid w:val="00B66CDA"/>
    <w:rsid w:val="00BB4BD0"/>
    <w:rsid w:val="00BD441F"/>
    <w:rsid w:val="00BE4E2B"/>
    <w:rsid w:val="00C00D3F"/>
    <w:rsid w:val="00C656F8"/>
    <w:rsid w:val="00C67A72"/>
    <w:rsid w:val="00CB041A"/>
    <w:rsid w:val="00CC3182"/>
    <w:rsid w:val="00E56306"/>
    <w:rsid w:val="00E70E98"/>
    <w:rsid w:val="00EE1AA6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9A5A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A5A0B"/>
    <w:pPr>
      <w:widowControl w:val="0"/>
      <w:shd w:val="clear" w:color="auto" w:fill="FFFFFF"/>
      <w:spacing w:before="300" w:after="180" w:line="31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8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5539F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B5539F"/>
    <w:rPr>
      <w:rFonts w:ascii="Times New Roman" w:eastAsia="Calibri" w:hAnsi="Times New Roman" w:cs="Times New Roman"/>
      <w:sz w:val="3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9A5A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A5A0B"/>
    <w:pPr>
      <w:widowControl w:val="0"/>
      <w:shd w:val="clear" w:color="auto" w:fill="FFFFFF"/>
      <w:spacing w:before="300" w:after="180" w:line="31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8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5539F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B5539F"/>
    <w:rPr>
      <w:rFonts w:ascii="Times New Roman" w:eastAsia="Calibri" w:hAnsi="Times New Roman" w:cs="Times New Roman"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 unan</dc:creator>
  <cp:lastModifiedBy>gurkan artun</cp:lastModifiedBy>
  <cp:revision>3</cp:revision>
  <cp:lastPrinted>2019-02-21T10:35:00Z</cp:lastPrinted>
  <dcterms:created xsi:type="dcterms:W3CDTF">2019-04-05T08:49:00Z</dcterms:created>
  <dcterms:modified xsi:type="dcterms:W3CDTF">2019-04-05T09:02:00Z</dcterms:modified>
</cp:coreProperties>
</file>