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106" w:type="dxa"/>
        <w:tblLook w:val="01E0"/>
      </w:tblPr>
      <w:tblGrid>
        <w:gridCol w:w="128"/>
        <w:gridCol w:w="1818"/>
        <w:gridCol w:w="516"/>
        <w:gridCol w:w="546"/>
        <w:gridCol w:w="645"/>
        <w:gridCol w:w="656"/>
        <w:gridCol w:w="5265"/>
        <w:gridCol w:w="181"/>
      </w:tblGrid>
      <w:tr w:rsidR="0094622C" w:rsidRPr="00E83D57">
        <w:trPr>
          <w:gridAfter w:val="1"/>
          <w:wAfter w:w="181" w:type="dxa"/>
        </w:trPr>
        <w:tc>
          <w:tcPr>
            <w:tcW w:w="9574" w:type="dxa"/>
            <w:gridSpan w:val="7"/>
          </w:tcPr>
          <w:p w:rsidR="0094622C" w:rsidRPr="00E83D57" w:rsidRDefault="0094622C" w:rsidP="00E83D57">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Kuzey Kıbrıs Türk Cumhuriyeti Cumhuriyet Meclisi’nin 29 Şubat 2016 tarihli Kırküçüncü   Birleşiminde Oybirliğiyle kabul olunan “Türk Ajansı – Kıbrıs (TAK) (Kuruluş, Görev ve Çalışma Esasları) (Değişiklik) Yasası” Anayasanın 94’üncü maddesinin (1)’inci fıkrası gereğince Kuzey Kıbrıs Türk Cumhuriyeti Cumhurbaşkanı tarafından Resmi Gazete’de yayımlanmak suretiyle ilan olunur.</w:t>
            </w:r>
          </w:p>
        </w:tc>
      </w:tr>
      <w:tr w:rsidR="0094622C" w:rsidRPr="00E83D57">
        <w:trPr>
          <w:gridAfter w:val="1"/>
          <w:wAfter w:w="181" w:type="dxa"/>
          <w:trHeight w:val="257"/>
        </w:trPr>
        <w:tc>
          <w:tcPr>
            <w:tcW w:w="9574" w:type="dxa"/>
            <w:gridSpan w:val="7"/>
          </w:tcPr>
          <w:p w:rsidR="0094622C" w:rsidRPr="00E83D57" w:rsidRDefault="0094622C" w:rsidP="00E83D57">
            <w:pPr>
              <w:spacing w:after="0" w:line="240" w:lineRule="auto"/>
              <w:jc w:val="center"/>
              <w:rPr>
                <w:rFonts w:ascii="Times New Roman" w:hAnsi="Times New Roman" w:cs="Times New Roman"/>
                <w:sz w:val="24"/>
                <w:szCs w:val="24"/>
              </w:rPr>
            </w:pPr>
          </w:p>
        </w:tc>
      </w:tr>
      <w:tr w:rsidR="0094622C" w:rsidRPr="00E83D57">
        <w:trPr>
          <w:gridAfter w:val="1"/>
          <w:wAfter w:w="181" w:type="dxa"/>
        </w:trPr>
        <w:tc>
          <w:tcPr>
            <w:tcW w:w="9574" w:type="dxa"/>
            <w:gridSpan w:val="7"/>
          </w:tcPr>
          <w:p w:rsidR="0094622C" w:rsidRPr="00E83D57" w:rsidRDefault="0094622C" w:rsidP="00E83D5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Sayı: 1</w:t>
            </w:r>
            <w:r>
              <w:rPr>
                <w:rFonts w:ascii="Times New Roman" w:hAnsi="Times New Roman" w:cs="Times New Roman"/>
                <w:sz w:val="24"/>
                <w:szCs w:val="24"/>
              </w:rPr>
              <w:t>6</w:t>
            </w:r>
            <w:r w:rsidRPr="00E83D57">
              <w:rPr>
                <w:rFonts w:ascii="Times New Roman" w:hAnsi="Times New Roman" w:cs="Times New Roman"/>
                <w:sz w:val="24"/>
                <w:szCs w:val="24"/>
              </w:rPr>
              <w:t>/2016</w:t>
            </w:r>
          </w:p>
        </w:tc>
      </w:tr>
      <w:tr w:rsidR="0094622C" w:rsidRPr="00E83D57">
        <w:trPr>
          <w:gridAfter w:val="1"/>
          <w:wAfter w:w="181" w:type="dxa"/>
        </w:trPr>
        <w:tc>
          <w:tcPr>
            <w:tcW w:w="9574" w:type="dxa"/>
            <w:gridSpan w:val="7"/>
          </w:tcPr>
          <w:p w:rsidR="0094622C" w:rsidRPr="00E83D57" w:rsidRDefault="0094622C" w:rsidP="00E83D57">
            <w:pPr>
              <w:spacing w:after="0" w:line="240" w:lineRule="auto"/>
              <w:jc w:val="center"/>
              <w:rPr>
                <w:rFonts w:ascii="Times New Roman" w:hAnsi="Times New Roman" w:cs="Times New Roman"/>
                <w:sz w:val="24"/>
                <w:szCs w:val="24"/>
              </w:rPr>
            </w:pPr>
          </w:p>
        </w:tc>
      </w:tr>
      <w:tr w:rsidR="0094622C" w:rsidRPr="00E83D57">
        <w:tblPrEx>
          <w:jc w:val="center"/>
          <w:tblLook w:val="00A0"/>
        </w:tblPrEx>
        <w:trPr>
          <w:gridBefore w:val="1"/>
          <w:wBefore w:w="128" w:type="dxa"/>
          <w:jc w:val="center"/>
        </w:trPr>
        <w:tc>
          <w:tcPr>
            <w:tcW w:w="9627" w:type="dxa"/>
            <w:gridSpan w:val="7"/>
          </w:tcPr>
          <w:p w:rsidR="0094622C" w:rsidRPr="00E83D57" w:rsidRDefault="0094622C" w:rsidP="00AA66B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TÜRK AJANSI – KIBRIS (TAK)</w:t>
            </w:r>
          </w:p>
          <w:p w:rsidR="0094622C" w:rsidRPr="00E83D57" w:rsidRDefault="0094622C" w:rsidP="00AA66B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(KURULUŞ, GÖREV VE ÇALIŞMA ESASLARI) </w:t>
            </w:r>
          </w:p>
          <w:p w:rsidR="0094622C" w:rsidRPr="00E83D57" w:rsidRDefault="0094622C" w:rsidP="00AA66B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(DEĞİŞİKLİK) YASASI</w:t>
            </w:r>
          </w:p>
        </w:tc>
      </w:tr>
      <w:tr w:rsidR="0094622C" w:rsidRPr="00E83D57">
        <w:tblPrEx>
          <w:jc w:val="center"/>
          <w:tblLook w:val="00A0"/>
        </w:tblPrEx>
        <w:trPr>
          <w:gridBefore w:val="1"/>
          <w:wBefore w:w="128" w:type="dxa"/>
          <w:jc w:val="center"/>
        </w:trPr>
        <w:tc>
          <w:tcPr>
            <w:tcW w:w="9627" w:type="dxa"/>
            <w:gridSpan w:val="7"/>
          </w:tcPr>
          <w:p w:rsidR="0094622C" w:rsidRPr="00E83D57" w:rsidRDefault="0094622C" w:rsidP="00AA66B9">
            <w:pPr>
              <w:spacing w:after="0" w:line="240" w:lineRule="auto"/>
              <w:jc w:val="center"/>
              <w:rPr>
                <w:rFonts w:ascii="Times New Roman" w:hAnsi="Times New Roman" w:cs="Times New Roman"/>
                <w:sz w:val="24"/>
                <w:szCs w:val="24"/>
              </w:rPr>
            </w:pPr>
          </w:p>
        </w:tc>
      </w:tr>
      <w:tr w:rsidR="0094622C" w:rsidRPr="00E83D57">
        <w:tblPrEx>
          <w:jc w:val="center"/>
          <w:tblLook w:val="00A0"/>
        </w:tblPrEx>
        <w:trPr>
          <w:gridBefore w:val="1"/>
          <w:wBefore w:w="128" w:type="dxa"/>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7809" w:type="dxa"/>
            <w:gridSpan w:val="6"/>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         Kuzey Kıbrıs Türk Cumhuriyeti Cumhuriyet Meclisi aşağıdaki Yasayı yapar:</w:t>
            </w:r>
          </w:p>
        </w:tc>
      </w:tr>
      <w:tr w:rsidR="0094622C" w:rsidRPr="00E83D57">
        <w:tblPrEx>
          <w:jc w:val="center"/>
          <w:tblLook w:val="00A0"/>
        </w:tblPrEx>
        <w:trPr>
          <w:gridBefore w:val="1"/>
          <w:wBefore w:w="128" w:type="dxa"/>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7809" w:type="dxa"/>
            <w:gridSpan w:val="6"/>
          </w:tcPr>
          <w:p w:rsidR="0094622C" w:rsidRPr="00E83D57" w:rsidRDefault="0094622C" w:rsidP="00AA66B9">
            <w:pPr>
              <w:spacing w:after="0" w:line="240" w:lineRule="auto"/>
              <w:rPr>
                <w:rFonts w:ascii="Times New Roman" w:hAnsi="Times New Roman" w:cs="Times New Roman"/>
                <w:sz w:val="24"/>
                <w:szCs w:val="24"/>
              </w:rPr>
            </w:pPr>
          </w:p>
        </w:tc>
      </w:tr>
      <w:tr w:rsidR="0094622C" w:rsidRPr="00E83D57">
        <w:tblPrEx>
          <w:jc w:val="center"/>
          <w:tblLook w:val="00A0"/>
        </w:tblPrEx>
        <w:trPr>
          <w:gridBefore w:val="1"/>
          <w:wBefore w:w="128" w:type="dxa"/>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Kısa İsim</w:t>
            </w:r>
          </w:p>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41/2011</w:t>
            </w:r>
          </w:p>
        </w:tc>
        <w:tc>
          <w:tcPr>
            <w:tcW w:w="7809" w:type="dxa"/>
            <w:gridSpan w:val="6"/>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1.  Bu Yasa, Türk Ajansı – Kıbrıs (TAK) (Kuruluş, Görev ve Çalışma Esasları) (Değişiklik) Yasası olarak isimlendirilir ve aşağıda “Esas Yasa” olarak anılan Türk Ajansı – Kıbrıs (TAK) (Kuruluş, Görev ve Çalışma Esasları) Yasası ile birlikte okunur.</w:t>
            </w:r>
          </w:p>
        </w:tc>
      </w:tr>
      <w:tr w:rsidR="0094622C" w:rsidRPr="00E83D57">
        <w:tblPrEx>
          <w:jc w:val="center"/>
          <w:tblLook w:val="00A0"/>
        </w:tblPrEx>
        <w:trPr>
          <w:gridBefore w:val="1"/>
          <w:wBefore w:w="128" w:type="dxa"/>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7809" w:type="dxa"/>
            <w:gridSpan w:val="6"/>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blPrEx>
          <w:jc w:val="center"/>
          <w:tblLook w:val="00A0"/>
        </w:tblPrEx>
        <w:trPr>
          <w:gridBefore w:val="1"/>
          <w:wBefore w:w="128" w:type="dxa"/>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Esas Yasanın</w:t>
            </w:r>
          </w:p>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9’uncu Maddesinin</w:t>
            </w: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2.</w:t>
            </w:r>
          </w:p>
        </w:tc>
        <w:tc>
          <w:tcPr>
            <w:tcW w:w="546"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(1)</w:t>
            </w:r>
          </w:p>
        </w:tc>
        <w:tc>
          <w:tcPr>
            <w:tcW w:w="6747" w:type="dxa"/>
            <w:gridSpan w:val="4"/>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Esas Yasa, 9’uncu maddesinin (1)’inci fıkrası kaldırılmak ve yerine aşağıdaki yeni (1)’inci fıkra konmak suretiyle değiştirilir:</w:t>
            </w: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Değiştirilmesi</w:t>
            </w: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45" w:type="dxa"/>
          </w:tcPr>
          <w:p w:rsidR="0094622C" w:rsidRPr="00E83D57" w:rsidRDefault="0094622C" w:rsidP="00AA66B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“(1)</w:t>
            </w:r>
          </w:p>
        </w:tc>
        <w:tc>
          <w:tcPr>
            <w:tcW w:w="6102" w:type="dxa"/>
            <w:gridSpan w:val="3"/>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Yönetim Kurulu toplantılarına Başkan, yokluğunda Başkan Yardımcısı, her ikisinin yokluğunda ise Yönetim Kurulunun en yaşlı üyesi Başkanlık eder.”</w:t>
            </w: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45" w:type="dxa"/>
          </w:tcPr>
          <w:p w:rsidR="0094622C" w:rsidRPr="00E83D57" w:rsidRDefault="0094622C" w:rsidP="00AA66B9">
            <w:pPr>
              <w:spacing w:after="0" w:line="240" w:lineRule="auto"/>
              <w:jc w:val="center"/>
              <w:rPr>
                <w:rFonts w:ascii="Times New Roman" w:hAnsi="Times New Roman" w:cs="Times New Roman"/>
                <w:sz w:val="24"/>
                <w:szCs w:val="24"/>
              </w:rPr>
            </w:pPr>
          </w:p>
        </w:tc>
        <w:tc>
          <w:tcPr>
            <w:tcW w:w="6102" w:type="dxa"/>
            <w:gridSpan w:val="3"/>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(2)</w:t>
            </w:r>
          </w:p>
        </w:tc>
        <w:tc>
          <w:tcPr>
            <w:tcW w:w="6747" w:type="dxa"/>
            <w:gridSpan w:val="4"/>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Esas Yasa, 9’uncu maddesinin (4)’üncü fıkrası kaldırılmak ve yerine aşağıdaki yeni (4)’üncü fıkra konmak suretiyle değiştirilir:</w:t>
            </w: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747" w:type="dxa"/>
            <w:gridSpan w:val="4"/>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45" w:type="dxa"/>
          </w:tcPr>
          <w:p w:rsidR="0094622C" w:rsidRPr="00E83D57" w:rsidRDefault="0094622C" w:rsidP="00AA66B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“(4)</w:t>
            </w:r>
          </w:p>
        </w:tc>
        <w:tc>
          <w:tcPr>
            <w:tcW w:w="6102" w:type="dxa"/>
            <w:gridSpan w:val="3"/>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Yönetim Kurulu olağan toplantıları ayda en az 1 (bir) kez yapılır. Olağan kurul toplantıları en geç 24 (yirmi dört) saat önceden üyelere (elektronik posta, mektup veya yazılı telefon mesajı) bildirilir. Gerektiği takdirde Başkanın yokluğunda Başkan Yardımcısı, her ikisinin yokluğunda ise Yönetim Kurulunun en yaşlı üyesi Yönetim Kurulunu olağanüstü toplantıya çağırabilir. Olağan ve olağanüstü toplantıların günü ve saati ile gündemi toplantıya çağıran tarafından saptanır ve üyelere (elektronik posta, mektup veya yazılı telefon mesajı) bildirilir.”</w:t>
            </w: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45" w:type="dxa"/>
          </w:tcPr>
          <w:p w:rsidR="0094622C" w:rsidRPr="00E83D57" w:rsidRDefault="0094622C" w:rsidP="00AA66B9">
            <w:pPr>
              <w:spacing w:after="0" w:line="240" w:lineRule="auto"/>
              <w:jc w:val="center"/>
              <w:rPr>
                <w:rFonts w:ascii="Times New Roman" w:hAnsi="Times New Roman" w:cs="Times New Roman"/>
                <w:sz w:val="24"/>
                <w:szCs w:val="24"/>
              </w:rPr>
            </w:pPr>
          </w:p>
        </w:tc>
        <w:tc>
          <w:tcPr>
            <w:tcW w:w="6102" w:type="dxa"/>
            <w:gridSpan w:val="3"/>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 xml:space="preserve">Esas Yasanın 36’ncı </w:t>
            </w: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3.</w:t>
            </w:r>
          </w:p>
        </w:tc>
        <w:tc>
          <w:tcPr>
            <w:tcW w:w="7293" w:type="dxa"/>
            <w:gridSpan w:val="5"/>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Esas Yasa, 36’ncı maddesinin (6)’ncı fıkrasının (A) bendi kaldırılmak ve yerine aşağıdaki yeni (A) bendi konmak suretiyle değiştirilir:</w:t>
            </w: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Maddesinin</w:t>
            </w: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7293" w:type="dxa"/>
            <w:gridSpan w:val="5"/>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Değiştirilmesi</w:t>
            </w: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45" w:type="dxa"/>
          </w:tcPr>
          <w:p w:rsidR="0094622C" w:rsidRPr="00E83D57" w:rsidRDefault="0094622C" w:rsidP="00AA66B9">
            <w:pPr>
              <w:spacing w:after="0" w:line="240" w:lineRule="auto"/>
              <w:jc w:val="center"/>
              <w:rPr>
                <w:rFonts w:ascii="Times New Roman" w:hAnsi="Times New Roman" w:cs="Times New Roman"/>
                <w:sz w:val="24"/>
                <w:szCs w:val="24"/>
              </w:rPr>
            </w:pPr>
          </w:p>
        </w:tc>
        <w:tc>
          <w:tcPr>
            <w:tcW w:w="656" w:type="dxa"/>
          </w:tcPr>
          <w:p w:rsidR="0094622C" w:rsidRPr="00E83D57" w:rsidRDefault="0094622C" w:rsidP="00AA66B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“(A)</w:t>
            </w:r>
          </w:p>
        </w:tc>
        <w:tc>
          <w:tcPr>
            <w:tcW w:w="5446" w:type="dxa"/>
            <w:gridSpan w:val="2"/>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Kademe ilerlemesini kısa veya uzun süreli durdurma, geçici olarak görevden çıkarma ve görevden çıkarma cezaları, Yönetim Kurulunca soruşturma belgelerinin alındığı tarihten başlayarak en geç 60 (altmış) iş günü içinde verilir. </w:t>
            </w:r>
          </w:p>
          <w:p w:rsidR="0094622C" w:rsidRPr="00E83D57" w:rsidRDefault="0094622C" w:rsidP="00C26883">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      Ancak bu fıkra kuralları çerçevesinde Yönetim Kurulunca verilecek disiplin cezası ile ilgili oylamada Müdür oy kullanamaz.”</w:t>
            </w:r>
          </w:p>
        </w:tc>
      </w:tr>
      <w:tr w:rsidR="0094622C" w:rsidRPr="00E83D57">
        <w:tblPrEx>
          <w:jc w:val="center"/>
          <w:tblLook w:val="00A0"/>
        </w:tblPrEx>
        <w:trPr>
          <w:gridBefore w:val="1"/>
          <w:wBefore w:w="128" w:type="dxa"/>
          <w:trHeight w:val="184"/>
          <w:jc w:val="center"/>
        </w:trPr>
        <w:tc>
          <w:tcPr>
            <w:tcW w:w="1818" w:type="dxa"/>
          </w:tcPr>
          <w:p w:rsidR="0094622C" w:rsidRPr="00E83D57" w:rsidRDefault="0094622C" w:rsidP="00AA66B9">
            <w:pPr>
              <w:spacing w:after="0" w:line="240" w:lineRule="auto"/>
              <w:rPr>
                <w:rFonts w:ascii="Times New Roman" w:hAnsi="Times New Roman" w:cs="Times New Roman"/>
                <w:sz w:val="24"/>
                <w:szCs w:val="24"/>
              </w:rPr>
            </w:pPr>
          </w:p>
        </w:tc>
        <w:tc>
          <w:tcPr>
            <w:tcW w:w="516"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46" w:type="dxa"/>
          </w:tcPr>
          <w:p w:rsidR="0094622C" w:rsidRPr="00E83D57" w:rsidRDefault="0094622C" w:rsidP="00AA66B9">
            <w:pPr>
              <w:spacing w:after="0" w:line="240" w:lineRule="auto"/>
              <w:rPr>
                <w:rFonts w:ascii="Times New Roman" w:hAnsi="Times New Roman" w:cs="Times New Roman"/>
                <w:sz w:val="24"/>
                <w:szCs w:val="24"/>
              </w:rPr>
            </w:pPr>
          </w:p>
        </w:tc>
        <w:tc>
          <w:tcPr>
            <w:tcW w:w="645" w:type="dxa"/>
          </w:tcPr>
          <w:p w:rsidR="0094622C" w:rsidRPr="00E83D57" w:rsidRDefault="0094622C" w:rsidP="00AA66B9">
            <w:pPr>
              <w:spacing w:after="0" w:line="240" w:lineRule="auto"/>
              <w:jc w:val="center"/>
              <w:rPr>
                <w:rFonts w:ascii="Times New Roman" w:hAnsi="Times New Roman" w:cs="Times New Roman"/>
                <w:sz w:val="24"/>
                <w:szCs w:val="24"/>
              </w:rPr>
            </w:pPr>
          </w:p>
        </w:tc>
        <w:tc>
          <w:tcPr>
            <w:tcW w:w="656" w:type="dxa"/>
          </w:tcPr>
          <w:p w:rsidR="0094622C" w:rsidRPr="00E83D57" w:rsidRDefault="0094622C" w:rsidP="00AA66B9">
            <w:pPr>
              <w:spacing w:after="0" w:line="240" w:lineRule="auto"/>
              <w:jc w:val="center"/>
              <w:rPr>
                <w:rFonts w:ascii="Times New Roman" w:hAnsi="Times New Roman" w:cs="Times New Roman"/>
                <w:sz w:val="24"/>
                <w:szCs w:val="24"/>
              </w:rPr>
            </w:pPr>
          </w:p>
        </w:tc>
        <w:tc>
          <w:tcPr>
            <w:tcW w:w="5446" w:type="dxa"/>
            <w:gridSpan w:val="2"/>
          </w:tcPr>
          <w:p w:rsidR="0094622C" w:rsidRPr="00E83D57" w:rsidRDefault="0094622C" w:rsidP="00AA66B9">
            <w:pPr>
              <w:spacing w:after="0" w:line="240" w:lineRule="auto"/>
              <w:jc w:val="both"/>
              <w:rPr>
                <w:rFonts w:ascii="Times New Roman" w:hAnsi="Times New Roman" w:cs="Times New Roman"/>
                <w:sz w:val="24"/>
                <w:szCs w:val="24"/>
              </w:rPr>
            </w:pPr>
          </w:p>
        </w:tc>
      </w:tr>
    </w:tbl>
    <w:p w:rsidR="0094622C" w:rsidRPr="00E83D57" w:rsidRDefault="0094622C">
      <w:pPr>
        <w:rPr>
          <w:rFonts w:ascii="Times New Roman" w:hAnsi="Times New Roman" w:cs="Times New Roman"/>
          <w:sz w:val="24"/>
          <w:szCs w:val="24"/>
        </w:rPr>
      </w:pPr>
      <w:r w:rsidRPr="00E83D57">
        <w:rPr>
          <w:rFonts w:ascii="Times New Roman" w:hAnsi="Times New Roman" w:cs="Times New Roman"/>
          <w:sz w:val="24"/>
          <w:szCs w:val="24"/>
        </w:rPr>
        <w:br w:type="page"/>
      </w:r>
    </w:p>
    <w:tbl>
      <w:tblPr>
        <w:tblW w:w="9590" w:type="dxa"/>
        <w:jc w:val="center"/>
        <w:tblLayout w:type="fixed"/>
        <w:tblLook w:val="00A0"/>
      </w:tblPr>
      <w:tblGrid>
        <w:gridCol w:w="1802"/>
        <w:gridCol w:w="273"/>
        <w:gridCol w:w="1867"/>
        <w:gridCol w:w="782"/>
        <w:gridCol w:w="591"/>
        <w:gridCol w:w="647"/>
        <w:gridCol w:w="3628"/>
      </w:tblGrid>
      <w:tr w:rsidR="0094622C" w:rsidRPr="00E83D57">
        <w:trPr>
          <w:trHeight w:val="184"/>
          <w:jc w:val="center"/>
        </w:trPr>
        <w:tc>
          <w:tcPr>
            <w:tcW w:w="1802"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Esas Yasaya Yeni 43 A</w:t>
            </w:r>
          </w:p>
        </w:tc>
        <w:tc>
          <w:tcPr>
            <w:tcW w:w="7788" w:type="dxa"/>
            <w:gridSpan w:val="6"/>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4.  Esas Yasa, 43’üncü maddesinden hemen sonra aşağıdaki yeni 43A maddesi eklenmek suretiyle değiştirilir:</w:t>
            </w:r>
          </w:p>
        </w:tc>
      </w:tr>
      <w:tr w:rsidR="0094622C" w:rsidRPr="00E83D57">
        <w:trPr>
          <w:trHeight w:val="184"/>
          <w:jc w:val="center"/>
        </w:trPr>
        <w:tc>
          <w:tcPr>
            <w:tcW w:w="1802"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Maddesinin</w:t>
            </w:r>
          </w:p>
        </w:tc>
        <w:tc>
          <w:tcPr>
            <w:tcW w:w="7788" w:type="dxa"/>
            <w:gridSpan w:val="6"/>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rPr>
          <w:trHeight w:val="184"/>
          <w:jc w:val="center"/>
        </w:trPr>
        <w:tc>
          <w:tcPr>
            <w:tcW w:w="1802"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Eklenmesi</w:t>
            </w:r>
          </w:p>
        </w:tc>
        <w:tc>
          <w:tcPr>
            <w:tcW w:w="273"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1867"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“Derece Değişikliğinde ve Sınıf Değiştirmede Aylık</w:t>
            </w:r>
          </w:p>
        </w:tc>
        <w:tc>
          <w:tcPr>
            <w:tcW w:w="782"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43A.</w:t>
            </w:r>
          </w:p>
        </w:tc>
        <w:tc>
          <w:tcPr>
            <w:tcW w:w="591"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(1)</w:t>
            </w:r>
          </w:p>
        </w:tc>
        <w:tc>
          <w:tcPr>
            <w:tcW w:w="647"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(A)</w:t>
            </w:r>
          </w:p>
        </w:tc>
        <w:tc>
          <w:tcPr>
            <w:tcW w:w="3628"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Bulunduğu dereceden bir yukarı dereceye yükselmeye hak kazanan sürekli personel, atandığı derecedeki bareme bakılmaksızın terfi etmeden önce bulunduğu derecenin baremindeki maaşı (aylığı) almaya devam eder. Barem içi artış tarihi aynen devam eder.</w:t>
            </w:r>
          </w:p>
        </w:tc>
      </w:tr>
      <w:tr w:rsidR="0094622C" w:rsidRPr="00E83D57">
        <w:trPr>
          <w:trHeight w:val="184"/>
          <w:jc w:val="center"/>
        </w:trPr>
        <w:tc>
          <w:tcPr>
            <w:tcW w:w="1802" w:type="dxa"/>
          </w:tcPr>
          <w:p w:rsidR="0094622C" w:rsidRPr="00E83D57" w:rsidRDefault="0094622C" w:rsidP="00AA66B9">
            <w:pPr>
              <w:spacing w:after="0" w:line="240" w:lineRule="auto"/>
              <w:rPr>
                <w:rFonts w:ascii="Times New Roman" w:hAnsi="Times New Roman" w:cs="Times New Roman"/>
                <w:sz w:val="24"/>
                <w:szCs w:val="24"/>
              </w:rPr>
            </w:pPr>
          </w:p>
        </w:tc>
        <w:tc>
          <w:tcPr>
            <w:tcW w:w="273"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1867" w:type="dxa"/>
          </w:tcPr>
          <w:p w:rsidR="0094622C" w:rsidRPr="00E83D57" w:rsidRDefault="0094622C" w:rsidP="005A4D3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 xml:space="preserve">47/2010              </w:t>
            </w:r>
          </w:p>
          <w:p w:rsidR="0094622C" w:rsidRPr="00E83D57" w:rsidRDefault="0094622C" w:rsidP="005A4D3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33/2013     </w:t>
            </w:r>
          </w:p>
          <w:p w:rsidR="0094622C" w:rsidRPr="00E83D57" w:rsidRDefault="0094622C" w:rsidP="005A4D3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19/2014</w:t>
            </w:r>
          </w:p>
          <w:p w:rsidR="0094622C" w:rsidRPr="00E83D57" w:rsidRDefault="0094622C" w:rsidP="005A4D39">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4/2015</w:t>
            </w:r>
          </w:p>
          <w:p w:rsidR="0094622C" w:rsidRPr="00E83D57" w:rsidRDefault="0094622C" w:rsidP="005A4D3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 xml:space="preserve">        46/2015</w:t>
            </w:r>
          </w:p>
        </w:tc>
        <w:tc>
          <w:tcPr>
            <w:tcW w:w="782"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91"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647"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(B)</w:t>
            </w:r>
          </w:p>
        </w:tc>
        <w:tc>
          <w:tcPr>
            <w:tcW w:w="3628" w:type="dxa"/>
          </w:tcPr>
          <w:p w:rsidR="0094622C" w:rsidRPr="00E83D57" w:rsidRDefault="0094622C" w:rsidP="002070B4">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Kamu Çalışanlarının Aylık (Maaş – Ücret) ve Diğer Ödeneklerinin Düzenlenmesi Yasası kapsamında çalışan sürekli personele ise yukarıdaki (A) bendi kuralları uygulanmayıp, bulunduğu dereceden bir yukarı dereceye yükselmeye hak kazanmaları halinde, atandığı derecenin başlangıç kademesine karşılık olan aylık maaşı veya ücreti almaya hak kazanır.</w:t>
            </w:r>
          </w:p>
          <w:p w:rsidR="0094622C" w:rsidRPr="00E83D57" w:rsidRDefault="0094622C" w:rsidP="002070B4">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       Ancak yeni girdiği derecenin ilk kademesine karşılık olan maaş, alt derecede çekmekte olduğu maaştan az veya eşit ise, çekmekte olduğu maaş kademesinin bir üstünü almaya hak kazanır.</w:t>
            </w:r>
          </w:p>
        </w:tc>
      </w:tr>
      <w:tr w:rsidR="0094622C" w:rsidRPr="00E83D57">
        <w:trPr>
          <w:trHeight w:val="184"/>
          <w:jc w:val="center"/>
        </w:trPr>
        <w:tc>
          <w:tcPr>
            <w:tcW w:w="1802" w:type="dxa"/>
          </w:tcPr>
          <w:p w:rsidR="0094622C" w:rsidRPr="00E83D57" w:rsidRDefault="0094622C" w:rsidP="00AA66B9">
            <w:pPr>
              <w:spacing w:after="0" w:line="240" w:lineRule="auto"/>
              <w:rPr>
                <w:rFonts w:ascii="Times New Roman" w:hAnsi="Times New Roman" w:cs="Times New Roman"/>
                <w:sz w:val="24"/>
                <w:szCs w:val="24"/>
              </w:rPr>
            </w:pPr>
          </w:p>
        </w:tc>
        <w:tc>
          <w:tcPr>
            <w:tcW w:w="273"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1867" w:type="dxa"/>
          </w:tcPr>
          <w:p w:rsidR="0094622C" w:rsidRPr="00E83D57" w:rsidRDefault="0094622C" w:rsidP="00AA66B9">
            <w:pPr>
              <w:spacing w:after="0" w:line="240" w:lineRule="auto"/>
              <w:rPr>
                <w:rFonts w:ascii="Times New Roman" w:hAnsi="Times New Roman" w:cs="Times New Roman"/>
                <w:sz w:val="24"/>
                <w:szCs w:val="24"/>
              </w:rPr>
            </w:pPr>
          </w:p>
        </w:tc>
        <w:tc>
          <w:tcPr>
            <w:tcW w:w="782"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591"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(2)</w:t>
            </w:r>
          </w:p>
        </w:tc>
        <w:tc>
          <w:tcPr>
            <w:tcW w:w="4275" w:type="dxa"/>
            <w:gridSpan w:val="2"/>
          </w:tcPr>
          <w:p w:rsidR="0094622C" w:rsidRPr="00E83D57" w:rsidRDefault="0094622C" w:rsidP="00AA66B9">
            <w:pPr>
              <w:pStyle w:val="ListParagraph"/>
              <w:spacing w:after="0" w:line="240" w:lineRule="auto"/>
              <w:ind w:left="0"/>
              <w:jc w:val="both"/>
              <w:rPr>
                <w:rFonts w:ascii="Times New Roman" w:hAnsi="Times New Roman" w:cs="Times New Roman"/>
                <w:sz w:val="24"/>
                <w:szCs w:val="24"/>
              </w:rPr>
            </w:pPr>
            <w:r w:rsidRPr="00E83D57">
              <w:rPr>
                <w:rFonts w:ascii="Times New Roman" w:hAnsi="Times New Roman" w:cs="Times New Roman"/>
                <w:sz w:val="24"/>
                <w:szCs w:val="24"/>
              </w:rPr>
              <w:t>Bulunduğu hizmet sınıfından Yöneticilik Hizmetleri Sınıfına yükselmeye hak kazanan sürekli personel, yeni girdiği hizmet sınıfının ilk kademesine karşılık olan maaşı (aylığı) almaya hak kazanır.</w:t>
            </w:r>
          </w:p>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      Ancak yeni girdiği hizmet sınıfının ilk kademesine karşılık olan maaş, alt derecede çekmekte olduğu maaştan az veya eşit ise, çekmekte olduğu maaştan yüksek olan en yakın kademenin bir üst kademesinden; veya çekmekte olduğu maaşa eşit olan kademenin bir üst kademesinden maaş almaya hak kazanır.</w:t>
            </w:r>
          </w:p>
        </w:tc>
      </w:tr>
    </w:tbl>
    <w:p w:rsidR="0094622C" w:rsidRPr="00E83D57" w:rsidRDefault="0094622C">
      <w:pPr>
        <w:rPr>
          <w:rFonts w:ascii="Times New Roman" w:hAnsi="Times New Roman" w:cs="Times New Roman"/>
          <w:sz w:val="24"/>
          <w:szCs w:val="24"/>
        </w:rPr>
      </w:pPr>
      <w:r w:rsidRPr="00E83D57">
        <w:rPr>
          <w:rFonts w:ascii="Times New Roman" w:hAnsi="Times New Roman" w:cs="Times New Roman"/>
          <w:sz w:val="24"/>
          <w:szCs w:val="24"/>
        </w:rPr>
        <w:br w:type="page"/>
      </w:r>
    </w:p>
    <w:tbl>
      <w:tblPr>
        <w:tblW w:w="9990" w:type="dxa"/>
        <w:jc w:val="center"/>
        <w:tblLayout w:type="fixed"/>
        <w:tblLook w:val="00A0"/>
      </w:tblPr>
      <w:tblGrid>
        <w:gridCol w:w="1741"/>
        <w:gridCol w:w="59"/>
        <w:gridCol w:w="273"/>
        <w:gridCol w:w="260"/>
        <w:gridCol w:w="19"/>
        <w:gridCol w:w="485"/>
        <w:gridCol w:w="1103"/>
        <w:gridCol w:w="72"/>
        <w:gridCol w:w="294"/>
        <w:gridCol w:w="471"/>
        <w:gridCol w:w="540"/>
        <w:gridCol w:w="167"/>
        <w:gridCol w:w="4484"/>
        <w:gridCol w:w="22"/>
      </w:tblGrid>
      <w:tr w:rsidR="0094622C" w:rsidRPr="00E83D57">
        <w:trPr>
          <w:trHeight w:val="184"/>
          <w:jc w:val="center"/>
        </w:trPr>
        <w:tc>
          <w:tcPr>
            <w:tcW w:w="1802" w:type="dxa"/>
            <w:gridSpan w:val="2"/>
          </w:tcPr>
          <w:p w:rsidR="0094622C" w:rsidRPr="00E83D57" w:rsidRDefault="0094622C" w:rsidP="00AA66B9">
            <w:pPr>
              <w:spacing w:after="0" w:line="240" w:lineRule="auto"/>
              <w:rPr>
                <w:rFonts w:ascii="Times New Roman" w:hAnsi="Times New Roman" w:cs="Times New Roman"/>
                <w:sz w:val="24"/>
                <w:szCs w:val="24"/>
              </w:rPr>
            </w:pPr>
          </w:p>
        </w:tc>
        <w:tc>
          <w:tcPr>
            <w:tcW w:w="273"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1867" w:type="dxa"/>
            <w:gridSpan w:val="4"/>
          </w:tcPr>
          <w:p w:rsidR="0094622C" w:rsidRPr="00E83D57" w:rsidRDefault="0094622C" w:rsidP="00AA66B9">
            <w:pPr>
              <w:spacing w:after="0" w:line="240" w:lineRule="auto"/>
              <w:rPr>
                <w:rFonts w:ascii="Times New Roman" w:hAnsi="Times New Roman" w:cs="Times New Roman"/>
                <w:sz w:val="24"/>
                <w:szCs w:val="24"/>
              </w:rPr>
            </w:pPr>
          </w:p>
        </w:tc>
        <w:tc>
          <w:tcPr>
            <w:tcW w:w="837" w:type="dxa"/>
            <w:gridSpan w:val="3"/>
          </w:tcPr>
          <w:p w:rsidR="0094622C" w:rsidRPr="00E83D57" w:rsidRDefault="0094622C" w:rsidP="00AA66B9">
            <w:pPr>
              <w:spacing w:after="0" w:line="240" w:lineRule="auto"/>
              <w:jc w:val="both"/>
              <w:rPr>
                <w:rFonts w:ascii="Times New Roman" w:hAnsi="Times New Roman" w:cs="Times New Roman"/>
                <w:sz w:val="24"/>
                <w:szCs w:val="24"/>
              </w:rPr>
            </w:pPr>
          </w:p>
        </w:tc>
        <w:tc>
          <w:tcPr>
            <w:tcW w:w="536" w:type="dxa"/>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(3)</w:t>
            </w:r>
          </w:p>
        </w:tc>
        <w:tc>
          <w:tcPr>
            <w:tcW w:w="4675" w:type="dxa"/>
            <w:gridSpan w:val="3"/>
          </w:tcPr>
          <w:p w:rsidR="0094622C" w:rsidRPr="00E83D57" w:rsidRDefault="0094622C" w:rsidP="00AA66B9">
            <w:pPr>
              <w:pStyle w:val="ListParagraph"/>
              <w:spacing w:after="0" w:line="240" w:lineRule="auto"/>
              <w:ind w:left="0"/>
              <w:jc w:val="both"/>
              <w:rPr>
                <w:rFonts w:ascii="Times New Roman" w:hAnsi="Times New Roman" w:cs="Times New Roman"/>
                <w:sz w:val="24"/>
                <w:szCs w:val="24"/>
              </w:rPr>
            </w:pPr>
            <w:bookmarkStart w:id="0" w:name="_GoBack"/>
            <w:bookmarkEnd w:id="0"/>
            <w:r w:rsidRPr="00E83D57">
              <w:rPr>
                <w:rFonts w:ascii="Times New Roman" w:hAnsi="Times New Roman" w:cs="Times New Roman"/>
                <w:sz w:val="24"/>
                <w:szCs w:val="24"/>
              </w:rPr>
              <w:t>Bir sınıftan başka bir sınıfa geçen sürekli personel, geçtiği sınıfta atandığı derece kadrosunun baremi, halen almakta olduğu maaş tutarının altında ise, o kamu görevlisi, atandığı yeni sınıf ve derece bareminde, eski derece bareminden çekmekte olduğu maaş tutarının üstünde en yakın kademe ne ise, o kademeden maaş almaya hak kazanır.</w:t>
            </w:r>
          </w:p>
          <w:p w:rsidR="0094622C" w:rsidRPr="00E83D57" w:rsidRDefault="0094622C" w:rsidP="00AA66B9">
            <w:pPr>
              <w:pStyle w:val="ListParagraph"/>
              <w:spacing w:after="0" w:line="240" w:lineRule="auto"/>
              <w:ind w:left="0"/>
              <w:jc w:val="both"/>
              <w:rPr>
                <w:rFonts w:ascii="Times New Roman" w:hAnsi="Times New Roman" w:cs="Times New Roman"/>
                <w:sz w:val="24"/>
                <w:szCs w:val="24"/>
              </w:rPr>
            </w:pPr>
            <w:r w:rsidRPr="00E83D57">
              <w:rPr>
                <w:rFonts w:ascii="Times New Roman" w:hAnsi="Times New Roman" w:cs="Times New Roman"/>
                <w:sz w:val="24"/>
                <w:szCs w:val="24"/>
              </w:rPr>
              <w:t xml:space="preserve">          Ancak sürekli personelin yeni atandığı sınıf ve derecenin baremi, halen almakta olduğu maaş tutarının üstünde ise atandığı derecenin ilk kademesinden maaş almaya hak kazanır.</w:t>
            </w:r>
          </w:p>
        </w:tc>
      </w:tr>
      <w:tr w:rsidR="0094622C" w:rsidRPr="00E83D57">
        <w:trPr>
          <w:trHeight w:val="184"/>
          <w:jc w:val="center"/>
        </w:trPr>
        <w:tc>
          <w:tcPr>
            <w:tcW w:w="1802" w:type="dxa"/>
            <w:gridSpan w:val="2"/>
          </w:tcPr>
          <w:p w:rsidR="0094622C" w:rsidRPr="00E83D57" w:rsidRDefault="0094622C" w:rsidP="00AA66B9">
            <w:pPr>
              <w:spacing w:after="0" w:line="240" w:lineRule="auto"/>
              <w:rPr>
                <w:rFonts w:ascii="Times New Roman" w:hAnsi="Times New Roman" w:cs="Times New Roman"/>
                <w:sz w:val="24"/>
                <w:szCs w:val="24"/>
              </w:rPr>
            </w:pPr>
          </w:p>
        </w:tc>
        <w:tc>
          <w:tcPr>
            <w:tcW w:w="273" w:type="dxa"/>
          </w:tcPr>
          <w:p w:rsidR="0094622C" w:rsidRPr="00E83D57" w:rsidRDefault="0094622C" w:rsidP="00AA66B9">
            <w:pPr>
              <w:spacing w:after="0" w:line="240" w:lineRule="auto"/>
              <w:jc w:val="both"/>
              <w:rPr>
                <w:rFonts w:ascii="Times New Roman" w:hAnsi="Times New Roman" w:cs="Times New Roman"/>
                <w:sz w:val="24"/>
                <w:szCs w:val="24"/>
              </w:rPr>
            </w:pPr>
          </w:p>
        </w:tc>
        <w:tc>
          <w:tcPr>
            <w:tcW w:w="1867" w:type="dxa"/>
            <w:gridSpan w:val="4"/>
          </w:tcPr>
          <w:p w:rsidR="0094622C" w:rsidRPr="00E83D57" w:rsidRDefault="0094622C" w:rsidP="00AA66B9">
            <w:pPr>
              <w:spacing w:after="0" w:line="240" w:lineRule="auto"/>
              <w:rPr>
                <w:rFonts w:ascii="Times New Roman" w:hAnsi="Times New Roman" w:cs="Times New Roman"/>
                <w:sz w:val="24"/>
                <w:szCs w:val="24"/>
              </w:rPr>
            </w:pPr>
          </w:p>
        </w:tc>
        <w:tc>
          <w:tcPr>
            <w:tcW w:w="837" w:type="dxa"/>
            <w:gridSpan w:val="3"/>
          </w:tcPr>
          <w:p w:rsidR="0094622C" w:rsidRPr="00E83D57" w:rsidRDefault="0094622C" w:rsidP="00AA66B9">
            <w:pPr>
              <w:spacing w:after="0" w:line="240" w:lineRule="auto"/>
              <w:jc w:val="both"/>
              <w:rPr>
                <w:rFonts w:ascii="Times New Roman" w:hAnsi="Times New Roman" w:cs="Times New Roman"/>
                <w:sz w:val="24"/>
                <w:szCs w:val="24"/>
              </w:rPr>
            </w:pPr>
          </w:p>
        </w:tc>
        <w:tc>
          <w:tcPr>
            <w:tcW w:w="536" w:type="dxa"/>
          </w:tcPr>
          <w:p w:rsidR="0094622C" w:rsidRPr="00E83D57" w:rsidRDefault="0094622C" w:rsidP="00CD7FE1">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(4)</w:t>
            </w:r>
          </w:p>
        </w:tc>
        <w:tc>
          <w:tcPr>
            <w:tcW w:w="4675" w:type="dxa"/>
            <w:gridSpan w:val="3"/>
          </w:tcPr>
          <w:p w:rsidR="0094622C" w:rsidRPr="00E83D57" w:rsidRDefault="0094622C" w:rsidP="00CD7FE1">
            <w:pPr>
              <w:pStyle w:val="ListParagraph"/>
              <w:spacing w:after="0" w:line="240" w:lineRule="auto"/>
              <w:ind w:left="0"/>
              <w:jc w:val="both"/>
              <w:rPr>
                <w:rFonts w:ascii="Times New Roman" w:hAnsi="Times New Roman" w:cs="Times New Roman"/>
                <w:sz w:val="24"/>
                <w:szCs w:val="24"/>
              </w:rPr>
            </w:pPr>
            <w:r w:rsidRPr="00E83D57">
              <w:rPr>
                <w:rFonts w:ascii="Times New Roman" w:hAnsi="Times New Roman" w:cs="Times New Roman"/>
                <w:sz w:val="24"/>
                <w:szCs w:val="24"/>
              </w:rPr>
              <w:t>Kazanılmış hak ve derecelerinden daha aşağıda bir dereceye atanan sürekli personel de atandığı derecede eski derecesinde almakta olduğu maaşa eşit maaşı almaya; atandığı derecede eşitliği sağlayacak kademe aylığına karşılık maaş yoksa en yakın kademe aylığını almaya hak kazanır.</w:t>
            </w:r>
          </w:p>
        </w:tc>
      </w:tr>
      <w:tr w:rsidR="0094622C" w:rsidRPr="00E83D57">
        <w:trPr>
          <w:gridAfter w:val="1"/>
          <w:wAfter w:w="18" w:type="dxa"/>
          <w:trHeight w:val="184"/>
          <w:jc w:val="center"/>
        </w:trPr>
        <w:tc>
          <w:tcPr>
            <w:tcW w:w="1802" w:type="dxa"/>
            <w:gridSpan w:val="2"/>
          </w:tcPr>
          <w:p w:rsidR="0094622C" w:rsidRPr="00E83D57" w:rsidRDefault="0094622C" w:rsidP="00AA66B9">
            <w:pPr>
              <w:spacing w:after="0" w:line="240" w:lineRule="auto"/>
              <w:rPr>
                <w:rFonts w:ascii="Times New Roman" w:hAnsi="Times New Roman" w:cs="Times New Roman"/>
                <w:sz w:val="24"/>
                <w:szCs w:val="24"/>
              </w:rPr>
            </w:pPr>
          </w:p>
        </w:tc>
        <w:tc>
          <w:tcPr>
            <w:tcW w:w="533" w:type="dxa"/>
            <w:gridSpan w:val="2"/>
          </w:tcPr>
          <w:p w:rsidR="0094622C" w:rsidRPr="00E83D57" w:rsidRDefault="0094622C" w:rsidP="00AA66B9">
            <w:pPr>
              <w:spacing w:after="0" w:line="240" w:lineRule="auto"/>
              <w:jc w:val="both"/>
              <w:rPr>
                <w:rFonts w:ascii="Times New Roman" w:hAnsi="Times New Roman" w:cs="Times New Roman"/>
                <w:sz w:val="24"/>
                <w:szCs w:val="24"/>
              </w:rPr>
            </w:pPr>
          </w:p>
        </w:tc>
        <w:tc>
          <w:tcPr>
            <w:tcW w:w="1679" w:type="dxa"/>
            <w:gridSpan w:val="4"/>
          </w:tcPr>
          <w:p w:rsidR="0094622C" w:rsidRPr="00E83D57" w:rsidRDefault="0094622C" w:rsidP="00AA66B9">
            <w:pPr>
              <w:spacing w:after="0" w:line="240" w:lineRule="auto"/>
              <w:rPr>
                <w:rFonts w:ascii="Times New Roman" w:hAnsi="Times New Roman" w:cs="Times New Roman"/>
                <w:sz w:val="24"/>
                <w:szCs w:val="24"/>
              </w:rPr>
            </w:pPr>
          </w:p>
        </w:tc>
        <w:tc>
          <w:tcPr>
            <w:tcW w:w="765" w:type="dxa"/>
            <w:gridSpan w:val="2"/>
          </w:tcPr>
          <w:p w:rsidR="0094622C" w:rsidRPr="00E83D57" w:rsidRDefault="0094622C" w:rsidP="00AA66B9">
            <w:pPr>
              <w:spacing w:after="0" w:line="240" w:lineRule="auto"/>
              <w:jc w:val="both"/>
              <w:rPr>
                <w:rFonts w:ascii="Times New Roman" w:hAnsi="Times New Roman" w:cs="Times New Roman"/>
                <w:sz w:val="24"/>
                <w:szCs w:val="24"/>
              </w:rPr>
            </w:pPr>
          </w:p>
        </w:tc>
        <w:tc>
          <w:tcPr>
            <w:tcW w:w="540" w:type="dxa"/>
          </w:tcPr>
          <w:p w:rsidR="0094622C" w:rsidRPr="00E83D57" w:rsidRDefault="0094622C" w:rsidP="00CD7FE1">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(5)</w:t>
            </w:r>
          </w:p>
        </w:tc>
        <w:tc>
          <w:tcPr>
            <w:tcW w:w="4653" w:type="dxa"/>
            <w:gridSpan w:val="2"/>
          </w:tcPr>
          <w:p w:rsidR="0094622C" w:rsidRPr="00E83D57" w:rsidRDefault="0094622C" w:rsidP="00CD7FE1">
            <w:pPr>
              <w:pStyle w:val="ListParagraph"/>
              <w:spacing w:after="0" w:line="240" w:lineRule="auto"/>
              <w:ind w:left="0"/>
              <w:jc w:val="both"/>
              <w:rPr>
                <w:rFonts w:ascii="Times New Roman" w:hAnsi="Times New Roman" w:cs="Times New Roman"/>
                <w:sz w:val="24"/>
                <w:szCs w:val="24"/>
              </w:rPr>
            </w:pPr>
            <w:r w:rsidRPr="00E83D57">
              <w:rPr>
                <w:rFonts w:ascii="Times New Roman" w:hAnsi="Times New Roman" w:cs="Times New Roman"/>
                <w:sz w:val="24"/>
                <w:szCs w:val="24"/>
              </w:rPr>
              <w:t>Yukarıdaki (1)’inci fıkra dışında kalanlar, kademe aylığı almaya hak kazanacağı tarihten en çok 3 (üç) ay önce, derece yükselmesi olan veya bir sınıftan başka bir sınıfa geçen sürekli personelin, kademe aylığını almış olsa idi; terfi ettirildiği veya geçtiği yeni sınıftaki derece kadrosunun bareminin üstünde maaş çekmeye hak kazanması sözkonusu ise bu durumda da, o sürekli personel de yukarıdaki fıkralarda yer alan kurallar çerçevesinde atandığı yeni kadro bareminde en yakın kademeye oturtulur ve oturtulduğu kademeden maaş almaya hak kazanır.”</w:t>
            </w:r>
          </w:p>
        </w:tc>
      </w:tr>
      <w:tr w:rsidR="0094622C" w:rsidRPr="00E83D57">
        <w:trPr>
          <w:gridAfter w:val="1"/>
          <w:wAfter w:w="18" w:type="dxa"/>
          <w:trHeight w:val="184"/>
          <w:jc w:val="center"/>
        </w:trPr>
        <w:tc>
          <w:tcPr>
            <w:tcW w:w="1802" w:type="dxa"/>
            <w:gridSpan w:val="2"/>
          </w:tcPr>
          <w:p w:rsidR="0094622C" w:rsidRPr="00E83D57" w:rsidRDefault="0094622C" w:rsidP="00AA66B9">
            <w:pPr>
              <w:spacing w:after="0" w:line="240" w:lineRule="auto"/>
              <w:rPr>
                <w:rFonts w:ascii="Times New Roman" w:hAnsi="Times New Roman" w:cs="Times New Roman"/>
                <w:sz w:val="24"/>
                <w:szCs w:val="24"/>
              </w:rPr>
            </w:pPr>
          </w:p>
        </w:tc>
        <w:tc>
          <w:tcPr>
            <w:tcW w:w="533" w:type="dxa"/>
            <w:gridSpan w:val="2"/>
          </w:tcPr>
          <w:p w:rsidR="0094622C" w:rsidRPr="00E83D57" w:rsidRDefault="0094622C" w:rsidP="00AA66B9">
            <w:pPr>
              <w:spacing w:after="0" w:line="240" w:lineRule="auto"/>
              <w:jc w:val="both"/>
              <w:rPr>
                <w:rFonts w:ascii="Times New Roman" w:hAnsi="Times New Roman" w:cs="Times New Roman"/>
                <w:sz w:val="24"/>
                <w:szCs w:val="24"/>
              </w:rPr>
            </w:pPr>
          </w:p>
        </w:tc>
        <w:tc>
          <w:tcPr>
            <w:tcW w:w="1679" w:type="dxa"/>
            <w:gridSpan w:val="4"/>
          </w:tcPr>
          <w:p w:rsidR="0094622C" w:rsidRPr="00E83D57" w:rsidRDefault="0094622C" w:rsidP="00AA66B9">
            <w:pPr>
              <w:spacing w:after="0" w:line="240" w:lineRule="auto"/>
              <w:rPr>
                <w:rFonts w:ascii="Times New Roman" w:hAnsi="Times New Roman" w:cs="Times New Roman"/>
                <w:sz w:val="24"/>
                <w:szCs w:val="24"/>
              </w:rPr>
            </w:pPr>
          </w:p>
        </w:tc>
        <w:tc>
          <w:tcPr>
            <w:tcW w:w="765" w:type="dxa"/>
            <w:gridSpan w:val="2"/>
          </w:tcPr>
          <w:p w:rsidR="0094622C" w:rsidRPr="00E83D57" w:rsidRDefault="0094622C" w:rsidP="00AA66B9">
            <w:pPr>
              <w:spacing w:after="0" w:line="240" w:lineRule="auto"/>
              <w:jc w:val="both"/>
              <w:rPr>
                <w:rFonts w:ascii="Times New Roman" w:hAnsi="Times New Roman" w:cs="Times New Roman"/>
                <w:sz w:val="24"/>
                <w:szCs w:val="24"/>
              </w:rPr>
            </w:pPr>
          </w:p>
        </w:tc>
        <w:tc>
          <w:tcPr>
            <w:tcW w:w="707" w:type="dxa"/>
            <w:gridSpan w:val="2"/>
          </w:tcPr>
          <w:p w:rsidR="0094622C" w:rsidRPr="00E83D57" w:rsidRDefault="0094622C" w:rsidP="00CD7FE1">
            <w:pPr>
              <w:spacing w:after="0" w:line="240" w:lineRule="auto"/>
              <w:jc w:val="both"/>
              <w:rPr>
                <w:rFonts w:ascii="Times New Roman" w:hAnsi="Times New Roman" w:cs="Times New Roman"/>
                <w:sz w:val="24"/>
                <w:szCs w:val="24"/>
              </w:rPr>
            </w:pPr>
          </w:p>
        </w:tc>
        <w:tc>
          <w:tcPr>
            <w:tcW w:w="4486" w:type="dxa"/>
          </w:tcPr>
          <w:p w:rsidR="0094622C" w:rsidRPr="00E83D57" w:rsidRDefault="0094622C" w:rsidP="00CD7FE1">
            <w:pPr>
              <w:pStyle w:val="ListParagraph"/>
              <w:spacing w:after="0" w:line="240" w:lineRule="auto"/>
              <w:ind w:left="0"/>
              <w:jc w:val="both"/>
              <w:rPr>
                <w:rFonts w:ascii="Times New Roman" w:hAnsi="Times New Roman" w:cs="Times New Roman"/>
                <w:sz w:val="24"/>
                <w:szCs w:val="24"/>
              </w:rPr>
            </w:pPr>
          </w:p>
        </w:tc>
      </w:tr>
      <w:tr w:rsidR="0094622C" w:rsidRPr="00E83D57">
        <w:trPr>
          <w:gridAfter w:val="1"/>
          <w:wAfter w:w="18" w:type="dxa"/>
          <w:trHeight w:val="184"/>
          <w:jc w:val="center"/>
        </w:trPr>
        <w:tc>
          <w:tcPr>
            <w:tcW w:w="1743"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 xml:space="preserve">Esas Yasaya Yeni 58 A </w:t>
            </w:r>
          </w:p>
        </w:tc>
        <w:tc>
          <w:tcPr>
            <w:tcW w:w="611" w:type="dxa"/>
            <w:gridSpan w:val="4"/>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5.</w:t>
            </w:r>
          </w:p>
        </w:tc>
        <w:tc>
          <w:tcPr>
            <w:tcW w:w="7618" w:type="dxa"/>
            <w:gridSpan w:val="8"/>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Esas Yasa, 58’inci maddesinden hemen sonra aşağıdaki yeni 58A maddesi eklenmek  suretiyle değiştirilir.</w:t>
            </w:r>
          </w:p>
        </w:tc>
      </w:tr>
      <w:tr w:rsidR="0094622C" w:rsidRPr="00E83D57">
        <w:trPr>
          <w:gridAfter w:val="1"/>
          <w:wAfter w:w="18" w:type="dxa"/>
          <w:trHeight w:val="184"/>
          <w:jc w:val="center"/>
        </w:trPr>
        <w:tc>
          <w:tcPr>
            <w:tcW w:w="1743"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Maddesinin</w:t>
            </w:r>
          </w:p>
        </w:tc>
        <w:tc>
          <w:tcPr>
            <w:tcW w:w="611" w:type="dxa"/>
            <w:gridSpan w:val="4"/>
          </w:tcPr>
          <w:p w:rsidR="0094622C" w:rsidRPr="00E83D57" w:rsidRDefault="0094622C" w:rsidP="00AA66B9">
            <w:pPr>
              <w:spacing w:after="0" w:line="240" w:lineRule="auto"/>
              <w:jc w:val="both"/>
              <w:rPr>
                <w:rFonts w:ascii="Times New Roman" w:hAnsi="Times New Roman" w:cs="Times New Roman"/>
                <w:sz w:val="24"/>
                <w:szCs w:val="24"/>
              </w:rPr>
            </w:pPr>
          </w:p>
        </w:tc>
        <w:tc>
          <w:tcPr>
            <w:tcW w:w="7618" w:type="dxa"/>
            <w:gridSpan w:val="8"/>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rPr>
          <w:gridAfter w:val="1"/>
          <w:wAfter w:w="18" w:type="dxa"/>
          <w:trHeight w:val="184"/>
          <w:jc w:val="center"/>
        </w:trPr>
        <w:tc>
          <w:tcPr>
            <w:tcW w:w="1743"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Eklenmesi</w:t>
            </w:r>
          </w:p>
        </w:tc>
        <w:tc>
          <w:tcPr>
            <w:tcW w:w="592" w:type="dxa"/>
            <w:gridSpan w:val="3"/>
          </w:tcPr>
          <w:p w:rsidR="0094622C" w:rsidRPr="00E83D57" w:rsidRDefault="0094622C" w:rsidP="00AA66B9">
            <w:pPr>
              <w:spacing w:after="0" w:line="240" w:lineRule="auto"/>
              <w:jc w:val="both"/>
              <w:rPr>
                <w:rFonts w:ascii="Times New Roman" w:hAnsi="Times New Roman" w:cs="Times New Roman"/>
                <w:sz w:val="24"/>
                <w:szCs w:val="24"/>
              </w:rPr>
            </w:pPr>
          </w:p>
        </w:tc>
        <w:tc>
          <w:tcPr>
            <w:tcW w:w="504" w:type="dxa"/>
            <w:gridSpan w:val="2"/>
          </w:tcPr>
          <w:p w:rsidR="0094622C" w:rsidRPr="00E83D57" w:rsidRDefault="0094622C" w:rsidP="00AA66B9">
            <w:pPr>
              <w:spacing w:after="0" w:line="240" w:lineRule="auto"/>
              <w:jc w:val="both"/>
              <w:rPr>
                <w:rFonts w:ascii="Times New Roman" w:hAnsi="Times New Roman" w:cs="Times New Roman"/>
                <w:sz w:val="24"/>
                <w:szCs w:val="24"/>
              </w:rPr>
            </w:pPr>
          </w:p>
        </w:tc>
        <w:tc>
          <w:tcPr>
            <w:tcW w:w="1469" w:type="dxa"/>
            <w:gridSpan w:val="3"/>
          </w:tcPr>
          <w:p w:rsidR="0094622C" w:rsidRPr="00E83D57" w:rsidRDefault="0094622C" w:rsidP="00215E37">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“Kamu Görevlileri Yasasına İlişkin Kurallar</w:t>
            </w:r>
          </w:p>
          <w:p w:rsidR="0094622C" w:rsidRPr="00E83D57" w:rsidRDefault="0094622C" w:rsidP="00215E37">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7/1979</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3/1982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12/1982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44/1982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42/1983</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5/1984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29/1984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50/1984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2/1985</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10/1986</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13/1986</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30/1986</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31/1987</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11/1988</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33/1988</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13/1989</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34/1989</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73/1989</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8/1990</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19/1990</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42/1990</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49/1990</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11/1991</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85/1991</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11/1992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35/1992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3/1993</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62/1993</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10/1994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15/1994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53/1994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18/1995</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12/1996</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19/1996</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32/1996</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14/1997</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24/1997</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13/1998</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40/1998</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6/1999</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48/1999</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4/2000</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15/2000</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20/2001</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43/2001</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25/2002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60/2002</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3/2003</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43/2003</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63/2003           </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69/2003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5/2004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35/2004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20/2005</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32/2005</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59/2005</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10/2006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44/2006      </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72/2006           </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3/2007           </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57/2007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97/2007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11/2008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23/2008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34/2008</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54/2008 </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82/2009         </w:t>
            </w:r>
          </w:p>
          <w:p w:rsidR="0094622C" w:rsidRPr="00E83D57" w:rsidRDefault="0094622C" w:rsidP="00D45B9C">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48/2010 </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3/2011</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 3/2011</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20/2013</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34/2013</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19/2014</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3/2015</w:t>
            </w:r>
          </w:p>
          <w:p w:rsidR="0094622C" w:rsidRPr="00E83D57" w:rsidRDefault="0094622C" w:rsidP="00215E37">
            <w:pPr>
              <w:spacing w:after="0" w:line="240" w:lineRule="auto"/>
              <w:jc w:val="center"/>
              <w:rPr>
                <w:rFonts w:ascii="Times New Roman" w:hAnsi="Times New Roman" w:cs="Times New Roman"/>
                <w:sz w:val="24"/>
                <w:szCs w:val="24"/>
              </w:rPr>
            </w:pPr>
            <w:r w:rsidRPr="00E83D57">
              <w:rPr>
                <w:rFonts w:ascii="Times New Roman" w:hAnsi="Times New Roman" w:cs="Times New Roman"/>
                <w:sz w:val="24"/>
                <w:szCs w:val="24"/>
              </w:rPr>
              <w:t xml:space="preserve">      48/2015</w:t>
            </w:r>
          </w:p>
        </w:tc>
        <w:tc>
          <w:tcPr>
            <w:tcW w:w="5664" w:type="dxa"/>
            <w:gridSpan w:val="4"/>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58A. Bu Yasada düzenlenmeyen ve bu Yasa ile çelişmeyen konularda, Kamu Görevlileri Yasasının ilgili kuralları uygulanır.”</w:t>
            </w:r>
          </w:p>
          <w:p w:rsidR="0094622C" w:rsidRPr="00E83D57" w:rsidRDefault="0094622C" w:rsidP="00AA66B9">
            <w:pPr>
              <w:spacing w:after="0" w:line="240" w:lineRule="auto"/>
              <w:rPr>
                <w:rFonts w:ascii="Times New Roman" w:hAnsi="Times New Roman" w:cs="Times New Roman"/>
                <w:sz w:val="24"/>
                <w:szCs w:val="24"/>
              </w:rPr>
            </w:pPr>
          </w:p>
        </w:tc>
      </w:tr>
      <w:tr w:rsidR="0094622C" w:rsidRPr="00E83D57">
        <w:trPr>
          <w:gridAfter w:val="1"/>
          <w:wAfter w:w="18" w:type="dxa"/>
          <w:trHeight w:val="184"/>
          <w:jc w:val="center"/>
        </w:trPr>
        <w:tc>
          <w:tcPr>
            <w:tcW w:w="1743" w:type="dxa"/>
          </w:tcPr>
          <w:p w:rsidR="0094622C" w:rsidRPr="00E83D57" w:rsidRDefault="0094622C" w:rsidP="00AA66B9">
            <w:pPr>
              <w:spacing w:after="0" w:line="240" w:lineRule="auto"/>
              <w:rPr>
                <w:rFonts w:ascii="Times New Roman" w:hAnsi="Times New Roman" w:cs="Times New Roman"/>
                <w:sz w:val="24"/>
                <w:szCs w:val="24"/>
              </w:rPr>
            </w:pPr>
          </w:p>
        </w:tc>
        <w:tc>
          <w:tcPr>
            <w:tcW w:w="611" w:type="dxa"/>
            <w:gridSpan w:val="4"/>
          </w:tcPr>
          <w:p w:rsidR="0094622C" w:rsidRPr="00E83D57" w:rsidRDefault="0094622C" w:rsidP="00AA66B9">
            <w:pPr>
              <w:spacing w:after="0" w:line="240" w:lineRule="auto"/>
              <w:jc w:val="both"/>
              <w:rPr>
                <w:rFonts w:ascii="Times New Roman" w:hAnsi="Times New Roman" w:cs="Times New Roman"/>
                <w:sz w:val="24"/>
                <w:szCs w:val="24"/>
              </w:rPr>
            </w:pPr>
          </w:p>
        </w:tc>
        <w:tc>
          <w:tcPr>
            <w:tcW w:w="1954" w:type="dxa"/>
            <w:gridSpan w:val="4"/>
          </w:tcPr>
          <w:p w:rsidR="0094622C" w:rsidRPr="00E83D57" w:rsidRDefault="0094622C" w:rsidP="00AA66B9">
            <w:pPr>
              <w:spacing w:after="0" w:line="240" w:lineRule="auto"/>
              <w:rPr>
                <w:rFonts w:ascii="Times New Roman" w:hAnsi="Times New Roman" w:cs="Times New Roman"/>
                <w:sz w:val="24"/>
                <w:szCs w:val="24"/>
              </w:rPr>
            </w:pPr>
          </w:p>
        </w:tc>
        <w:tc>
          <w:tcPr>
            <w:tcW w:w="5664" w:type="dxa"/>
            <w:gridSpan w:val="4"/>
          </w:tcPr>
          <w:p w:rsidR="0094622C" w:rsidRPr="00E83D57" w:rsidRDefault="0094622C" w:rsidP="00AA66B9">
            <w:pPr>
              <w:spacing w:after="0" w:line="240" w:lineRule="auto"/>
              <w:jc w:val="both"/>
              <w:rPr>
                <w:rFonts w:ascii="Times New Roman" w:hAnsi="Times New Roman" w:cs="Times New Roman"/>
                <w:sz w:val="24"/>
                <w:szCs w:val="24"/>
              </w:rPr>
            </w:pPr>
          </w:p>
        </w:tc>
      </w:tr>
      <w:tr w:rsidR="0094622C" w:rsidRPr="00E83D57">
        <w:trPr>
          <w:gridAfter w:val="1"/>
          <w:wAfter w:w="18" w:type="dxa"/>
          <w:jc w:val="center"/>
        </w:trPr>
        <w:tc>
          <w:tcPr>
            <w:tcW w:w="1743" w:type="dxa"/>
          </w:tcPr>
          <w:p w:rsidR="0094622C" w:rsidRPr="00E83D57" w:rsidRDefault="0094622C" w:rsidP="00AA66B9">
            <w:pPr>
              <w:spacing w:after="0" w:line="240" w:lineRule="auto"/>
              <w:rPr>
                <w:rFonts w:ascii="Times New Roman" w:hAnsi="Times New Roman" w:cs="Times New Roman"/>
                <w:sz w:val="24"/>
                <w:szCs w:val="24"/>
              </w:rPr>
            </w:pPr>
            <w:r w:rsidRPr="00E83D57">
              <w:rPr>
                <w:rFonts w:ascii="Times New Roman" w:hAnsi="Times New Roman" w:cs="Times New Roman"/>
                <w:sz w:val="24"/>
                <w:szCs w:val="24"/>
              </w:rPr>
              <w:t>Yürürlüğe Giriş ve Uygulama</w:t>
            </w:r>
          </w:p>
        </w:tc>
        <w:tc>
          <w:tcPr>
            <w:tcW w:w="8229" w:type="dxa"/>
            <w:gridSpan w:val="12"/>
          </w:tcPr>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6.  Bu Yasa, Resmi Gazete’de yayımlandığı tarihten başlayarak yürürlüğe girer.         </w:t>
            </w:r>
          </w:p>
          <w:p w:rsidR="0094622C" w:rsidRPr="00E83D57" w:rsidRDefault="0094622C" w:rsidP="00AA66B9">
            <w:pPr>
              <w:spacing w:after="0" w:line="240" w:lineRule="auto"/>
              <w:jc w:val="both"/>
              <w:rPr>
                <w:rFonts w:ascii="Times New Roman" w:hAnsi="Times New Roman" w:cs="Times New Roman"/>
                <w:sz w:val="24"/>
                <w:szCs w:val="24"/>
              </w:rPr>
            </w:pPr>
            <w:r w:rsidRPr="00E83D57">
              <w:rPr>
                <w:rFonts w:ascii="Times New Roman" w:hAnsi="Times New Roman" w:cs="Times New Roman"/>
                <w:sz w:val="24"/>
                <w:szCs w:val="24"/>
              </w:rPr>
              <w:t xml:space="preserve">        Ancak bu Yasanın 43A maddesi hak sahipliği açısından 1 Mart 2012 tarihinden itibaren uygulanır. </w:t>
            </w:r>
          </w:p>
        </w:tc>
      </w:tr>
    </w:tbl>
    <w:p w:rsidR="0094622C" w:rsidRPr="00E83D57" w:rsidRDefault="0094622C" w:rsidP="00AA66B9">
      <w:pPr>
        <w:spacing w:after="0" w:line="240" w:lineRule="auto"/>
        <w:rPr>
          <w:rFonts w:ascii="Times New Roman" w:hAnsi="Times New Roman" w:cs="Times New Roman"/>
          <w:sz w:val="24"/>
          <w:szCs w:val="24"/>
        </w:rPr>
      </w:pPr>
    </w:p>
    <w:sectPr w:rsidR="0094622C" w:rsidRPr="00E83D57" w:rsidSect="00382EB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22C" w:rsidRDefault="0094622C">
      <w:r>
        <w:separator/>
      </w:r>
    </w:p>
  </w:endnote>
  <w:endnote w:type="continuationSeparator" w:id="1">
    <w:p w:rsidR="0094622C" w:rsidRDefault="0094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2C" w:rsidRDefault="0094622C" w:rsidP="00736E9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622C" w:rsidRDefault="0094622C" w:rsidP="00736E97">
    <w:pPr>
      <w:pStyle w:val="Footer"/>
      <w:framePr w:wrap="auto" w:vAnchor="text" w:hAnchor="margin" w:xAlign="right" w:y="1"/>
      <w:rPr>
        <w:rStyle w:val="PageNumber"/>
      </w:rPr>
    </w:pPr>
  </w:p>
  <w:p w:rsidR="0094622C" w:rsidRDefault="0094622C" w:rsidP="004077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22C" w:rsidRDefault="0094622C">
      <w:r>
        <w:separator/>
      </w:r>
    </w:p>
  </w:footnote>
  <w:footnote w:type="continuationSeparator" w:id="1">
    <w:p w:rsidR="0094622C" w:rsidRDefault="0094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56B5"/>
    <w:multiLevelType w:val="hybridMultilevel"/>
    <w:tmpl w:val="635C524A"/>
    <w:lvl w:ilvl="0" w:tplc="15F2328A">
      <w:start w:val="1"/>
      <w:numFmt w:val="decimal"/>
      <w:lvlText w:val="(%1)"/>
      <w:lvlJc w:val="left"/>
      <w:pPr>
        <w:ind w:left="1037" w:hanging="360"/>
      </w:pPr>
      <w:rPr>
        <w:rFonts w:hint="default"/>
      </w:rPr>
    </w:lvl>
    <w:lvl w:ilvl="1" w:tplc="041F0019">
      <w:start w:val="1"/>
      <w:numFmt w:val="lowerLetter"/>
      <w:lvlText w:val="%2."/>
      <w:lvlJc w:val="left"/>
      <w:pPr>
        <w:ind w:left="1757" w:hanging="360"/>
      </w:pPr>
    </w:lvl>
    <w:lvl w:ilvl="2" w:tplc="041F001B">
      <w:start w:val="1"/>
      <w:numFmt w:val="lowerRoman"/>
      <w:lvlText w:val="%3."/>
      <w:lvlJc w:val="right"/>
      <w:pPr>
        <w:ind w:left="2477" w:hanging="180"/>
      </w:pPr>
    </w:lvl>
    <w:lvl w:ilvl="3" w:tplc="041F000F">
      <w:start w:val="1"/>
      <w:numFmt w:val="decimal"/>
      <w:lvlText w:val="%4."/>
      <w:lvlJc w:val="left"/>
      <w:pPr>
        <w:ind w:left="3197" w:hanging="360"/>
      </w:pPr>
    </w:lvl>
    <w:lvl w:ilvl="4" w:tplc="041F0019">
      <w:start w:val="1"/>
      <w:numFmt w:val="lowerLetter"/>
      <w:lvlText w:val="%5."/>
      <w:lvlJc w:val="left"/>
      <w:pPr>
        <w:ind w:left="3917" w:hanging="360"/>
      </w:pPr>
    </w:lvl>
    <w:lvl w:ilvl="5" w:tplc="041F001B">
      <w:start w:val="1"/>
      <w:numFmt w:val="lowerRoman"/>
      <w:lvlText w:val="%6."/>
      <w:lvlJc w:val="right"/>
      <w:pPr>
        <w:ind w:left="4637" w:hanging="180"/>
      </w:pPr>
    </w:lvl>
    <w:lvl w:ilvl="6" w:tplc="041F000F">
      <w:start w:val="1"/>
      <w:numFmt w:val="decimal"/>
      <w:lvlText w:val="%7."/>
      <w:lvlJc w:val="left"/>
      <w:pPr>
        <w:ind w:left="5357" w:hanging="360"/>
      </w:pPr>
    </w:lvl>
    <w:lvl w:ilvl="7" w:tplc="041F0019">
      <w:start w:val="1"/>
      <w:numFmt w:val="lowerLetter"/>
      <w:lvlText w:val="%8."/>
      <w:lvlJc w:val="left"/>
      <w:pPr>
        <w:ind w:left="6077" w:hanging="360"/>
      </w:pPr>
    </w:lvl>
    <w:lvl w:ilvl="8" w:tplc="041F001B">
      <w:start w:val="1"/>
      <w:numFmt w:val="lowerRoman"/>
      <w:lvlText w:val="%9."/>
      <w:lvlJc w:val="right"/>
      <w:pPr>
        <w:ind w:left="67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42"/>
    <w:rsid w:val="00003CED"/>
    <w:rsid w:val="000208E9"/>
    <w:rsid w:val="00030518"/>
    <w:rsid w:val="00034A35"/>
    <w:rsid w:val="000607DA"/>
    <w:rsid w:val="000666BC"/>
    <w:rsid w:val="000A1FBD"/>
    <w:rsid w:val="000B6B74"/>
    <w:rsid w:val="000E5321"/>
    <w:rsid w:val="000E6255"/>
    <w:rsid w:val="00101207"/>
    <w:rsid w:val="00106009"/>
    <w:rsid w:val="001104AF"/>
    <w:rsid w:val="001511C8"/>
    <w:rsid w:val="001952F8"/>
    <w:rsid w:val="001A2891"/>
    <w:rsid w:val="001A500A"/>
    <w:rsid w:val="001D3F0A"/>
    <w:rsid w:val="001F00B0"/>
    <w:rsid w:val="00203A49"/>
    <w:rsid w:val="002070B4"/>
    <w:rsid w:val="00215E37"/>
    <w:rsid w:val="00221189"/>
    <w:rsid w:val="0023765F"/>
    <w:rsid w:val="00247673"/>
    <w:rsid w:val="00260EC0"/>
    <w:rsid w:val="00262867"/>
    <w:rsid w:val="00274EB4"/>
    <w:rsid w:val="00281602"/>
    <w:rsid w:val="00282ACA"/>
    <w:rsid w:val="002B4BF7"/>
    <w:rsid w:val="002C1D31"/>
    <w:rsid w:val="002D4E7E"/>
    <w:rsid w:val="002E218B"/>
    <w:rsid w:val="003133C2"/>
    <w:rsid w:val="00313B42"/>
    <w:rsid w:val="00327ACE"/>
    <w:rsid w:val="00330518"/>
    <w:rsid w:val="00340F8C"/>
    <w:rsid w:val="00344C26"/>
    <w:rsid w:val="0035000B"/>
    <w:rsid w:val="00380085"/>
    <w:rsid w:val="00382809"/>
    <w:rsid w:val="00382EBF"/>
    <w:rsid w:val="0039488D"/>
    <w:rsid w:val="003C53FA"/>
    <w:rsid w:val="003D1160"/>
    <w:rsid w:val="003D7CDE"/>
    <w:rsid w:val="003E406C"/>
    <w:rsid w:val="003F541B"/>
    <w:rsid w:val="003F7554"/>
    <w:rsid w:val="00407740"/>
    <w:rsid w:val="004250B1"/>
    <w:rsid w:val="00435AE1"/>
    <w:rsid w:val="00473886"/>
    <w:rsid w:val="00480683"/>
    <w:rsid w:val="00486B32"/>
    <w:rsid w:val="00487A7A"/>
    <w:rsid w:val="004D17AF"/>
    <w:rsid w:val="004F70C7"/>
    <w:rsid w:val="00510107"/>
    <w:rsid w:val="00521B56"/>
    <w:rsid w:val="005227DE"/>
    <w:rsid w:val="00526758"/>
    <w:rsid w:val="00542741"/>
    <w:rsid w:val="00551C10"/>
    <w:rsid w:val="00575170"/>
    <w:rsid w:val="005A4D39"/>
    <w:rsid w:val="005B4EA3"/>
    <w:rsid w:val="005B4F08"/>
    <w:rsid w:val="005D4D7F"/>
    <w:rsid w:val="005D704B"/>
    <w:rsid w:val="005E08C5"/>
    <w:rsid w:val="005E4690"/>
    <w:rsid w:val="00614FBB"/>
    <w:rsid w:val="00616ED5"/>
    <w:rsid w:val="006451BC"/>
    <w:rsid w:val="0065596F"/>
    <w:rsid w:val="00671B83"/>
    <w:rsid w:val="006D5E4F"/>
    <w:rsid w:val="006E20F0"/>
    <w:rsid w:val="006E6B7E"/>
    <w:rsid w:val="0070190A"/>
    <w:rsid w:val="00707DA9"/>
    <w:rsid w:val="007151EE"/>
    <w:rsid w:val="00736E97"/>
    <w:rsid w:val="00763538"/>
    <w:rsid w:val="00772B9C"/>
    <w:rsid w:val="00791F0A"/>
    <w:rsid w:val="007B2E0A"/>
    <w:rsid w:val="007B46D1"/>
    <w:rsid w:val="007C0102"/>
    <w:rsid w:val="007D040E"/>
    <w:rsid w:val="00802A5E"/>
    <w:rsid w:val="00804785"/>
    <w:rsid w:val="008120F4"/>
    <w:rsid w:val="00827695"/>
    <w:rsid w:val="008568AD"/>
    <w:rsid w:val="00867D42"/>
    <w:rsid w:val="00890C1A"/>
    <w:rsid w:val="008D3D38"/>
    <w:rsid w:val="008E2064"/>
    <w:rsid w:val="008F6D7D"/>
    <w:rsid w:val="00916E4B"/>
    <w:rsid w:val="009414A1"/>
    <w:rsid w:val="0094622C"/>
    <w:rsid w:val="0095126E"/>
    <w:rsid w:val="00960CDD"/>
    <w:rsid w:val="00971B55"/>
    <w:rsid w:val="00994CE6"/>
    <w:rsid w:val="009D1565"/>
    <w:rsid w:val="00A0362C"/>
    <w:rsid w:val="00A44E80"/>
    <w:rsid w:val="00A458F8"/>
    <w:rsid w:val="00AA66B9"/>
    <w:rsid w:val="00AE1681"/>
    <w:rsid w:val="00B02ADE"/>
    <w:rsid w:val="00B1789F"/>
    <w:rsid w:val="00BA1C3D"/>
    <w:rsid w:val="00BB5107"/>
    <w:rsid w:val="00BE2FA3"/>
    <w:rsid w:val="00BF0636"/>
    <w:rsid w:val="00BF5E8A"/>
    <w:rsid w:val="00BF620D"/>
    <w:rsid w:val="00BF7711"/>
    <w:rsid w:val="00C24DD4"/>
    <w:rsid w:val="00C26883"/>
    <w:rsid w:val="00C55898"/>
    <w:rsid w:val="00C97DCA"/>
    <w:rsid w:val="00CB25A7"/>
    <w:rsid w:val="00CB3B59"/>
    <w:rsid w:val="00CD7FE1"/>
    <w:rsid w:val="00D008D1"/>
    <w:rsid w:val="00D2680B"/>
    <w:rsid w:val="00D314B4"/>
    <w:rsid w:val="00D33E2E"/>
    <w:rsid w:val="00D36AA4"/>
    <w:rsid w:val="00D4282B"/>
    <w:rsid w:val="00D45B9C"/>
    <w:rsid w:val="00D9396F"/>
    <w:rsid w:val="00DF13D8"/>
    <w:rsid w:val="00E335D9"/>
    <w:rsid w:val="00E81F22"/>
    <w:rsid w:val="00E83D57"/>
    <w:rsid w:val="00EB6B7B"/>
    <w:rsid w:val="00EE3FE0"/>
    <w:rsid w:val="00F07A29"/>
    <w:rsid w:val="00F60B2A"/>
    <w:rsid w:val="00F73B25"/>
    <w:rsid w:val="00F9749D"/>
    <w:rsid w:val="00FA3841"/>
    <w:rsid w:val="00FA3F4E"/>
    <w:rsid w:val="00FA5D00"/>
    <w:rsid w:val="00FA5FD0"/>
    <w:rsid w:val="00FC20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D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3B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7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7A29"/>
    <w:rPr>
      <w:rFonts w:ascii="Segoe UI" w:hAnsi="Segoe UI" w:cs="Segoe UI"/>
      <w:sz w:val="18"/>
      <w:szCs w:val="18"/>
    </w:rPr>
  </w:style>
  <w:style w:type="paragraph" w:styleId="ListParagraph">
    <w:name w:val="List Paragraph"/>
    <w:basedOn w:val="Normal"/>
    <w:uiPriority w:val="99"/>
    <w:qFormat/>
    <w:rsid w:val="00BA1C3D"/>
    <w:pPr>
      <w:spacing w:after="200" w:line="276" w:lineRule="auto"/>
      <w:ind w:left="720"/>
    </w:pPr>
    <w:rPr>
      <w:rFonts w:eastAsia="Times New Roman"/>
      <w:lang w:eastAsia="tr-TR"/>
    </w:rPr>
  </w:style>
  <w:style w:type="paragraph" w:styleId="Footer">
    <w:name w:val="footer"/>
    <w:basedOn w:val="Normal"/>
    <w:link w:val="FooterChar"/>
    <w:uiPriority w:val="99"/>
    <w:rsid w:val="00407740"/>
    <w:pPr>
      <w:tabs>
        <w:tab w:val="center" w:pos="4536"/>
        <w:tab w:val="right" w:pos="9072"/>
      </w:tabs>
    </w:pPr>
  </w:style>
  <w:style w:type="character" w:customStyle="1" w:styleId="FooterChar">
    <w:name w:val="Footer Char"/>
    <w:basedOn w:val="DefaultParagraphFont"/>
    <w:link w:val="Footer"/>
    <w:uiPriority w:val="99"/>
    <w:semiHidden/>
    <w:locked/>
    <w:rsid w:val="00D4282B"/>
    <w:rPr>
      <w:lang w:eastAsia="en-US"/>
    </w:rPr>
  </w:style>
  <w:style w:type="character" w:styleId="PageNumber">
    <w:name w:val="page number"/>
    <w:basedOn w:val="DefaultParagraphFont"/>
    <w:uiPriority w:val="99"/>
    <w:rsid w:val="00407740"/>
  </w:style>
  <w:style w:type="paragraph" w:styleId="Header">
    <w:name w:val="header"/>
    <w:basedOn w:val="Normal"/>
    <w:link w:val="HeaderChar"/>
    <w:uiPriority w:val="99"/>
    <w:rsid w:val="00382EBF"/>
    <w:pPr>
      <w:tabs>
        <w:tab w:val="center" w:pos="4536"/>
        <w:tab w:val="right" w:pos="9072"/>
      </w:tabs>
    </w:pPr>
  </w:style>
  <w:style w:type="character" w:customStyle="1" w:styleId="HeaderChar">
    <w:name w:val="Header Char"/>
    <w:basedOn w:val="DefaultParagraphFont"/>
    <w:link w:val="Header"/>
    <w:uiPriority w:val="99"/>
    <w:semiHidden/>
    <w:locked/>
    <w:rsid w:val="00D4282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1059</Words>
  <Characters>6041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AJANSI-KIBRIS (TAK) (KURLUŞ, GÖREV VE ÇALIŞMA ESASLARI) (DEĞİŞİKLİK) YASA TASARISI</dc:title>
  <dc:subject/>
  <dc:creator>MÜSTEYDE TÜRKÖZ</dc:creator>
  <cp:keywords/>
  <dc:description/>
  <cp:lastModifiedBy>sinem.demirgil</cp:lastModifiedBy>
  <cp:revision>4</cp:revision>
  <cp:lastPrinted>2016-02-24T12:13:00Z</cp:lastPrinted>
  <dcterms:created xsi:type="dcterms:W3CDTF">2016-03-17T07:56:00Z</dcterms:created>
  <dcterms:modified xsi:type="dcterms:W3CDTF">2016-03-17T08:10:00Z</dcterms:modified>
</cp:coreProperties>
</file>