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Look w:val="01E0" w:firstRow="1" w:lastRow="1" w:firstColumn="1" w:lastColumn="1" w:noHBand="0" w:noVBand="0"/>
      </w:tblPr>
      <w:tblGrid>
        <w:gridCol w:w="9498"/>
      </w:tblGrid>
      <w:tr w:rsidR="003010C3" w:rsidRPr="003010C3" w:rsidTr="003010C3">
        <w:tc>
          <w:tcPr>
            <w:tcW w:w="9498" w:type="dxa"/>
            <w:hideMark/>
          </w:tcPr>
          <w:p w:rsidR="003010C3" w:rsidRPr="003010C3" w:rsidRDefault="003010C3" w:rsidP="00301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301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Kuzey Kıbrıs Türk Cumhuriyeti Cumhuriyet Meclisi’nin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 Haziran</w:t>
            </w:r>
            <w:r w:rsidRPr="00301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2017 tarihli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Yetmişüçüncü</w:t>
            </w:r>
            <w:proofErr w:type="spellEnd"/>
            <w:r w:rsidRPr="00301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Birleşiminde Oybirliğiyle kabul olunan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Vergi Usul</w:t>
            </w:r>
            <w:r w:rsidRPr="00301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(Değişiklik) Yasası</w:t>
            </w:r>
            <w:r w:rsidRPr="00301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” Anayasanın 94’üncü maddesinin (1)’inci fıkrası gereğince Kuzey Kıbrıs Türk Cumhuriyeti Cumhurbaşkanı tarafından Resmi </w:t>
            </w:r>
            <w:proofErr w:type="spellStart"/>
            <w:r w:rsidRPr="00301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Gazete’de</w:t>
            </w:r>
            <w:proofErr w:type="spellEnd"/>
            <w:r w:rsidRPr="00301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yayımlanmak suretiyle ilan olunur.</w:t>
            </w:r>
          </w:p>
        </w:tc>
      </w:tr>
      <w:tr w:rsidR="003010C3" w:rsidRPr="003010C3" w:rsidTr="003010C3">
        <w:tc>
          <w:tcPr>
            <w:tcW w:w="9498" w:type="dxa"/>
          </w:tcPr>
          <w:p w:rsidR="003010C3" w:rsidRPr="003010C3" w:rsidRDefault="003010C3" w:rsidP="00301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</w:tc>
      </w:tr>
      <w:tr w:rsidR="003010C3" w:rsidRPr="003010C3" w:rsidTr="003010C3">
        <w:tc>
          <w:tcPr>
            <w:tcW w:w="9498" w:type="dxa"/>
            <w:hideMark/>
          </w:tcPr>
          <w:p w:rsidR="003010C3" w:rsidRPr="003010C3" w:rsidRDefault="003010C3" w:rsidP="00301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Sayı: 50</w:t>
            </w:r>
            <w:r w:rsidRPr="00301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/2017</w:t>
            </w:r>
          </w:p>
        </w:tc>
      </w:tr>
    </w:tbl>
    <w:p w:rsidR="003010C3" w:rsidRPr="003010C3" w:rsidRDefault="003010C3" w:rsidP="003010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25"/>
        <w:gridCol w:w="709"/>
        <w:gridCol w:w="7229"/>
      </w:tblGrid>
      <w:tr w:rsidR="00152FA3" w:rsidRPr="00152FA3" w:rsidTr="00DA06D4">
        <w:tc>
          <w:tcPr>
            <w:tcW w:w="10065" w:type="dxa"/>
            <w:gridSpan w:val="4"/>
            <w:hideMark/>
          </w:tcPr>
          <w:p w:rsidR="00152FA3" w:rsidRPr="00152FA3" w:rsidRDefault="00152FA3" w:rsidP="0015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FA3">
              <w:rPr>
                <w:rFonts w:ascii="Times New Roman" w:hAnsi="Times New Roman"/>
                <w:sz w:val="24"/>
                <w:szCs w:val="24"/>
              </w:rPr>
              <w:t>VERGİ</w:t>
            </w:r>
            <w:r w:rsidR="005F2BEA">
              <w:rPr>
                <w:rFonts w:ascii="Times New Roman" w:hAnsi="Times New Roman"/>
                <w:sz w:val="24"/>
                <w:szCs w:val="24"/>
              </w:rPr>
              <w:t xml:space="preserve"> USUL (DEĞİŞİKLİK) YASASI</w:t>
            </w:r>
          </w:p>
        </w:tc>
      </w:tr>
      <w:tr w:rsidR="00152FA3" w:rsidRPr="00152FA3" w:rsidTr="00DA06D4">
        <w:trPr>
          <w:trHeight w:val="685"/>
        </w:trPr>
        <w:tc>
          <w:tcPr>
            <w:tcW w:w="10065" w:type="dxa"/>
            <w:gridSpan w:val="4"/>
          </w:tcPr>
          <w:p w:rsidR="00152FA3" w:rsidRPr="00152FA3" w:rsidRDefault="00152FA3" w:rsidP="003132AD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B738C" w:rsidRPr="00152FA3" w:rsidTr="00DA06D4">
        <w:tc>
          <w:tcPr>
            <w:tcW w:w="1702" w:type="dxa"/>
          </w:tcPr>
          <w:p w:rsidR="001B738C" w:rsidRPr="00152FA3" w:rsidRDefault="001B738C" w:rsidP="00152F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:rsidR="001B738C" w:rsidRPr="001B738C" w:rsidRDefault="003132AD" w:rsidP="00985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152FA3">
              <w:rPr>
                <w:rFonts w:ascii="Times New Roman" w:hAnsi="Times New Roman"/>
                <w:sz w:val="24"/>
                <w:szCs w:val="24"/>
              </w:rPr>
              <w:t>Kuzey Kıbrıs Türk Cumhuriyeti Cumhuriyet Meclisi aşağıdaki Yasayı yapar:</w:t>
            </w:r>
          </w:p>
        </w:tc>
      </w:tr>
      <w:tr w:rsidR="003132AD" w:rsidRPr="00152FA3" w:rsidTr="00DA06D4">
        <w:tc>
          <w:tcPr>
            <w:tcW w:w="1702" w:type="dxa"/>
          </w:tcPr>
          <w:p w:rsidR="003132AD" w:rsidRPr="00152FA3" w:rsidRDefault="003132AD" w:rsidP="00152F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:rsidR="003132AD" w:rsidRDefault="003132AD" w:rsidP="00985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AD" w:rsidRPr="00152FA3" w:rsidTr="00DA06D4">
        <w:tc>
          <w:tcPr>
            <w:tcW w:w="1702" w:type="dxa"/>
          </w:tcPr>
          <w:p w:rsidR="003132AD" w:rsidRPr="00152FA3" w:rsidRDefault="003132AD" w:rsidP="007D372B">
            <w:pPr>
              <w:rPr>
                <w:rFonts w:ascii="Times New Roman" w:hAnsi="Times New Roman"/>
                <w:sz w:val="24"/>
                <w:szCs w:val="24"/>
              </w:rPr>
            </w:pPr>
            <w:r w:rsidRPr="00152FA3">
              <w:rPr>
                <w:rFonts w:ascii="Times New Roman" w:hAnsi="Times New Roman"/>
                <w:sz w:val="24"/>
                <w:szCs w:val="24"/>
              </w:rPr>
              <w:t>Kısa İsim</w:t>
            </w:r>
          </w:p>
          <w:p w:rsidR="003132AD" w:rsidRPr="00152FA3" w:rsidRDefault="003132AD" w:rsidP="007D372B">
            <w:pPr>
              <w:rPr>
                <w:rFonts w:ascii="Times New Roman" w:hAnsi="Times New Roman"/>
                <w:sz w:val="24"/>
                <w:szCs w:val="24"/>
              </w:rPr>
            </w:pPr>
            <w:r w:rsidRPr="00152FA3">
              <w:rPr>
                <w:rFonts w:ascii="Times New Roman" w:hAnsi="Times New Roman"/>
                <w:sz w:val="24"/>
                <w:szCs w:val="24"/>
              </w:rPr>
              <w:t>27/1977</w:t>
            </w:r>
          </w:p>
          <w:p w:rsidR="003132AD" w:rsidRPr="00152FA3" w:rsidRDefault="003132AD" w:rsidP="007D372B">
            <w:pPr>
              <w:rPr>
                <w:rFonts w:ascii="Times New Roman" w:hAnsi="Times New Roman"/>
                <w:sz w:val="24"/>
                <w:szCs w:val="24"/>
              </w:rPr>
            </w:pPr>
            <w:r w:rsidRPr="00152FA3">
              <w:rPr>
                <w:rFonts w:ascii="Times New Roman" w:hAnsi="Times New Roman"/>
                <w:sz w:val="24"/>
                <w:szCs w:val="24"/>
              </w:rPr>
              <w:t xml:space="preserve">   13/1980</w:t>
            </w:r>
          </w:p>
          <w:p w:rsidR="003132AD" w:rsidRPr="00152FA3" w:rsidRDefault="003132AD" w:rsidP="007D372B">
            <w:pPr>
              <w:rPr>
                <w:rFonts w:ascii="Times New Roman" w:hAnsi="Times New Roman"/>
                <w:sz w:val="24"/>
                <w:szCs w:val="24"/>
              </w:rPr>
            </w:pPr>
            <w:r w:rsidRPr="00152FA3">
              <w:rPr>
                <w:rFonts w:ascii="Times New Roman" w:hAnsi="Times New Roman"/>
                <w:sz w:val="24"/>
                <w:szCs w:val="24"/>
              </w:rPr>
              <w:t xml:space="preserve">   24/2015</w:t>
            </w:r>
          </w:p>
        </w:tc>
        <w:tc>
          <w:tcPr>
            <w:tcW w:w="8363" w:type="dxa"/>
            <w:gridSpan w:val="3"/>
          </w:tcPr>
          <w:p w:rsidR="003132AD" w:rsidRPr="001B738C" w:rsidRDefault="003132AD" w:rsidP="007D3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B738C">
              <w:rPr>
                <w:rFonts w:ascii="Times New Roman" w:hAnsi="Times New Roman"/>
                <w:sz w:val="24"/>
                <w:szCs w:val="24"/>
              </w:rPr>
              <w:t xml:space="preserve">Bu Yasa, Vergi Usul (Değişiklik) Yasası olarak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isimlendirilir ve aşağıda “Esas </w:t>
            </w:r>
            <w:r w:rsidRPr="001B738C">
              <w:rPr>
                <w:rFonts w:ascii="Times New Roman" w:hAnsi="Times New Roman"/>
                <w:sz w:val="24"/>
                <w:szCs w:val="24"/>
              </w:rPr>
              <w:t>Yasa” olarak anılan Vergi Usul Yasası ile birlikte okunur</w:t>
            </w:r>
            <w:r w:rsidR="00DA06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32AD" w:rsidRPr="00152FA3" w:rsidTr="00DA06D4">
        <w:tc>
          <w:tcPr>
            <w:tcW w:w="10065" w:type="dxa"/>
            <w:gridSpan w:val="4"/>
          </w:tcPr>
          <w:p w:rsidR="003132AD" w:rsidRPr="00152FA3" w:rsidRDefault="003132AD" w:rsidP="00152F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AD" w:rsidRPr="00152FA3" w:rsidTr="00DA06D4">
        <w:trPr>
          <w:trHeight w:val="518"/>
        </w:trPr>
        <w:tc>
          <w:tcPr>
            <w:tcW w:w="1702" w:type="dxa"/>
            <w:hideMark/>
          </w:tcPr>
          <w:p w:rsidR="003132AD" w:rsidRPr="00152FA3" w:rsidRDefault="003132AD" w:rsidP="002B4A3B">
            <w:pPr>
              <w:rPr>
                <w:rFonts w:ascii="Times New Roman" w:hAnsi="Times New Roman"/>
                <w:sz w:val="24"/>
                <w:szCs w:val="24"/>
              </w:rPr>
            </w:pPr>
            <w:r w:rsidRPr="00152FA3">
              <w:rPr>
                <w:rFonts w:ascii="Times New Roman" w:hAnsi="Times New Roman"/>
                <w:sz w:val="24"/>
                <w:szCs w:val="24"/>
              </w:rPr>
              <w:t xml:space="preserve">Esas Yasanın 55A </w:t>
            </w:r>
          </w:p>
        </w:tc>
        <w:tc>
          <w:tcPr>
            <w:tcW w:w="8363" w:type="dxa"/>
            <w:gridSpan w:val="3"/>
            <w:hideMark/>
          </w:tcPr>
          <w:p w:rsidR="003132AD" w:rsidRPr="00152FA3" w:rsidRDefault="003132AD" w:rsidP="00F23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52FA3">
              <w:rPr>
                <w:rFonts w:ascii="Times New Roman" w:hAnsi="Times New Roman"/>
                <w:sz w:val="24"/>
                <w:szCs w:val="24"/>
              </w:rPr>
              <w:t>Esas Yasa, 55A maddesinin (5)’inci fıkrası kaldırılmak ve yerine aşağıdaki yeni (5)’inci fıkra konmak suretiyle değiştirilir:</w:t>
            </w:r>
          </w:p>
        </w:tc>
      </w:tr>
      <w:tr w:rsidR="00920E84" w:rsidRPr="00152FA3" w:rsidTr="00DA06D4">
        <w:trPr>
          <w:trHeight w:val="80"/>
        </w:trPr>
        <w:tc>
          <w:tcPr>
            <w:tcW w:w="1702" w:type="dxa"/>
          </w:tcPr>
          <w:p w:rsidR="00920E84" w:rsidRPr="00152FA3" w:rsidRDefault="00DA06D4" w:rsidP="002B4A3B">
            <w:pPr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Maddesinin</w:t>
            </w:r>
          </w:p>
        </w:tc>
        <w:tc>
          <w:tcPr>
            <w:tcW w:w="8363" w:type="dxa"/>
            <w:gridSpan w:val="3"/>
          </w:tcPr>
          <w:p w:rsidR="00920E84" w:rsidRDefault="00920E84" w:rsidP="00F23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2C" w:rsidRPr="00152FA3" w:rsidTr="00A7762C">
        <w:trPr>
          <w:trHeight w:val="80"/>
        </w:trPr>
        <w:tc>
          <w:tcPr>
            <w:tcW w:w="1702" w:type="dxa"/>
          </w:tcPr>
          <w:p w:rsidR="00A7762C" w:rsidRPr="002B4A3B" w:rsidRDefault="00A7762C" w:rsidP="002B4A3B">
            <w:pPr>
              <w:rPr>
                <w:rFonts w:ascii="Times New Roman" w:hAnsi="Times New Roman"/>
                <w:sz w:val="24"/>
                <w:szCs w:val="24"/>
              </w:rPr>
            </w:pPr>
            <w:r w:rsidRPr="002B4A3B">
              <w:rPr>
                <w:rFonts w:ascii="Times New Roman" w:hAnsi="Times New Roman"/>
                <w:sz w:val="24"/>
                <w:szCs w:val="24"/>
              </w:rPr>
              <w:t>Değiştirilmesi</w:t>
            </w:r>
          </w:p>
        </w:tc>
        <w:tc>
          <w:tcPr>
            <w:tcW w:w="425" w:type="dxa"/>
          </w:tcPr>
          <w:p w:rsidR="00A7762C" w:rsidRDefault="00A7762C" w:rsidP="00F23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762C" w:rsidRDefault="00A7762C" w:rsidP="00F23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“(5)</w:t>
            </w:r>
          </w:p>
        </w:tc>
        <w:tc>
          <w:tcPr>
            <w:tcW w:w="7229" w:type="dxa"/>
          </w:tcPr>
          <w:p w:rsidR="00A7762C" w:rsidRPr="00152FA3" w:rsidRDefault="00A7762C" w:rsidP="007D3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Ocak 2018</w:t>
            </w:r>
            <w:r w:rsidRPr="00152FA3">
              <w:rPr>
                <w:rFonts w:ascii="Times New Roman" w:hAnsi="Times New Roman"/>
                <w:sz w:val="24"/>
                <w:szCs w:val="24"/>
              </w:rPr>
              <w:t xml:space="preserve"> tarihinde</w:t>
            </w:r>
            <w:r w:rsidR="00305653">
              <w:rPr>
                <w:rFonts w:ascii="Times New Roman" w:hAnsi="Times New Roman"/>
                <w:sz w:val="24"/>
                <w:szCs w:val="24"/>
              </w:rPr>
              <w:t>n önce</w:t>
            </w:r>
            <w:r w:rsidRPr="00152FA3">
              <w:rPr>
                <w:rFonts w:ascii="Times New Roman" w:hAnsi="Times New Roman"/>
                <w:sz w:val="24"/>
                <w:szCs w:val="24"/>
              </w:rPr>
              <w:t>, kendi vergi yasalarında beyanna</w:t>
            </w:r>
            <w:r w:rsidR="00305653">
              <w:rPr>
                <w:rFonts w:ascii="Times New Roman" w:hAnsi="Times New Roman"/>
                <w:sz w:val="24"/>
                <w:szCs w:val="24"/>
              </w:rPr>
              <w:t>me verme süresi sona eren</w:t>
            </w:r>
            <w:r w:rsidRPr="00152FA3">
              <w:rPr>
                <w:rFonts w:ascii="Times New Roman" w:hAnsi="Times New Roman"/>
                <w:sz w:val="24"/>
                <w:szCs w:val="24"/>
              </w:rPr>
              <w:t xml:space="preserve"> vergilendirme dönemleri için yapılacak </w:t>
            </w:r>
            <w:proofErr w:type="spellStart"/>
            <w:r w:rsidRPr="00152FA3">
              <w:rPr>
                <w:rFonts w:ascii="Times New Roman" w:hAnsi="Times New Roman"/>
                <w:sz w:val="24"/>
                <w:szCs w:val="24"/>
              </w:rPr>
              <w:t>re’sen</w:t>
            </w:r>
            <w:proofErr w:type="spellEnd"/>
            <w:r w:rsidRPr="00152F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52FA3">
              <w:rPr>
                <w:rFonts w:ascii="Times New Roman" w:hAnsi="Times New Roman"/>
                <w:sz w:val="24"/>
                <w:szCs w:val="24"/>
              </w:rPr>
              <w:t>ikmalen</w:t>
            </w:r>
            <w:proofErr w:type="spellEnd"/>
            <w:r w:rsidRPr="00152FA3">
              <w:rPr>
                <w:rFonts w:ascii="Times New Roman" w:hAnsi="Times New Roman"/>
                <w:sz w:val="24"/>
                <w:szCs w:val="24"/>
              </w:rPr>
              <w:t xml:space="preserve"> ve idarece vergi tarhiyatlarına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gecikme faizi </w:t>
            </w:r>
            <w:r w:rsidRPr="00152FA3">
              <w:rPr>
                <w:rFonts w:ascii="Times New Roman" w:hAnsi="Times New Roman"/>
                <w:sz w:val="24"/>
                <w:szCs w:val="24"/>
              </w:rPr>
              <w:t>uygulanmaz.”</w:t>
            </w:r>
          </w:p>
        </w:tc>
      </w:tr>
      <w:tr w:rsidR="00A7762C" w:rsidRPr="00152FA3" w:rsidTr="00A7762C">
        <w:trPr>
          <w:trHeight w:val="80"/>
        </w:trPr>
        <w:tc>
          <w:tcPr>
            <w:tcW w:w="1702" w:type="dxa"/>
          </w:tcPr>
          <w:p w:rsidR="00A7762C" w:rsidRPr="002B4A3B" w:rsidRDefault="00A7762C" w:rsidP="002B4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762C" w:rsidRDefault="00A7762C" w:rsidP="00F23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762C" w:rsidRDefault="00A7762C" w:rsidP="00F23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7762C" w:rsidRDefault="00A7762C" w:rsidP="007D3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2C" w:rsidRPr="00152FA3" w:rsidTr="00DA06D4">
        <w:tc>
          <w:tcPr>
            <w:tcW w:w="1702" w:type="dxa"/>
          </w:tcPr>
          <w:p w:rsidR="00A7762C" w:rsidRPr="00152FA3" w:rsidRDefault="00A7762C" w:rsidP="00920E84">
            <w:pPr>
              <w:rPr>
                <w:rFonts w:ascii="Times New Roman" w:hAnsi="Times New Roman"/>
                <w:sz w:val="24"/>
                <w:szCs w:val="24"/>
              </w:rPr>
            </w:pPr>
            <w:r w:rsidRPr="00152FA3">
              <w:rPr>
                <w:rFonts w:ascii="Times New Roman" w:hAnsi="Times New Roman"/>
                <w:sz w:val="24"/>
                <w:szCs w:val="24"/>
              </w:rPr>
              <w:t xml:space="preserve">Esas Yasanın 250’nci </w:t>
            </w:r>
          </w:p>
        </w:tc>
        <w:tc>
          <w:tcPr>
            <w:tcW w:w="8363" w:type="dxa"/>
            <w:gridSpan w:val="3"/>
          </w:tcPr>
          <w:p w:rsidR="00A7762C" w:rsidRPr="00152FA3" w:rsidRDefault="00A7762C" w:rsidP="007D3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52FA3">
              <w:rPr>
                <w:rFonts w:ascii="Times New Roman" w:hAnsi="Times New Roman"/>
                <w:sz w:val="24"/>
                <w:szCs w:val="24"/>
              </w:rPr>
              <w:t>Esas Yasa, 250’nci maddesinin (2)’</w:t>
            </w:r>
            <w:proofErr w:type="spellStart"/>
            <w:r w:rsidRPr="00152FA3">
              <w:rPr>
                <w:rFonts w:ascii="Times New Roman" w:hAnsi="Times New Roman"/>
                <w:sz w:val="24"/>
                <w:szCs w:val="24"/>
              </w:rPr>
              <w:t>nci</w:t>
            </w:r>
            <w:proofErr w:type="spellEnd"/>
            <w:r w:rsidRPr="00152FA3">
              <w:rPr>
                <w:rFonts w:ascii="Times New Roman" w:hAnsi="Times New Roman"/>
                <w:sz w:val="24"/>
                <w:szCs w:val="24"/>
              </w:rPr>
              <w:t xml:space="preserve"> fıkrasından hemen sonra aşağıd</w:t>
            </w:r>
            <w:r>
              <w:rPr>
                <w:rFonts w:ascii="Times New Roman" w:hAnsi="Times New Roman"/>
                <w:sz w:val="24"/>
                <w:szCs w:val="24"/>
              </w:rPr>
              <w:t>aki yeni (3)’üncü fıkra konmak</w:t>
            </w:r>
            <w:r w:rsidRPr="00152FA3">
              <w:rPr>
                <w:rFonts w:ascii="Times New Roman" w:hAnsi="Times New Roman"/>
                <w:sz w:val="24"/>
                <w:szCs w:val="24"/>
              </w:rPr>
              <w:t xml:space="preserve"> suretiyle değiştirilir:</w:t>
            </w:r>
          </w:p>
        </w:tc>
      </w:tr>
      <w:tr w:rsidR="00A7762C" w:rsidRPr="00152FA3" w:rsidTr="00DA06D4">
        <w:tc>
          <w:tcPr>
            <w:tcW w:w="1702" w:type="dxa"/>
          </w:tcPr>
          <w:p w:rsidR="00A7762C" w:rsidRPr="00152FA3" w:rsidRDefault="00A7762C" w:rsidP="00152FA3">
            <w:pPr>
              <w:rPr>
                <w:rFonts w:ascii="Times New Roman" w:hAnsi="Times New Roman"/>
                <w:sz w:val="24"/>
                <w:szCs w:val="24"/>
              </w:rPr>
            </w:pPr>
            <w:r w:rsidRPr="00152FA3">
              <w:rPr>
                <w:rFonts w:ascii="Times New Roman" w:hAnsi="Times New Roman"/>
                <w:sz w:val="24"/>
                <w:szCs w:val="24"/>
              </w:rPr>
              <w:t>Maddesinin</w:t>
            </w:r>
          </w:p>
        </w:tc>
        <w:tc>
          <w:tcPr>
            <w:tcW w:w="425" w:type="dxa"/>
          </w:tcPr>
          <w:p w:rsidR="00A7762C" w:rsidRPr="00152FA3" w:rsidRDefault="00A7762C" w:rsidP="00152F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762C" w:rsidRPr="00152FA3" w:rsidRDefault="00A7762C" w:rsidP="00152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A7762C" w:rsidRPr="00152FA3" w:rsidRDefault="00A7762C" w:rsidP="00152F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2C" w:rsidRPr="00152FA3" w:rsidTr="00DA06D4">
        <w:tc>
          <w:tcPr>
            <w:tcW w:w="1702" w:type="dxa"/>
          </w:tcPr>
          <w:p w:rsidR="00A7762C" w:rsidRPr="00152FA3" w:rsidRDefault="00A7762C" w:rsidP="00152FA3">
            <w:pPr>
              <w:rPr>
                <w:rFonts w:ascii="Times New Roman" w:hAnsi="Times New Roman"/>
                <w:sz w:val="24"/>
                <w:szCs w:val="24"/>
              </w:rPr>
            </w:pPr>
            <w:r w:rsidRPr="00152FA3">
              <w:rPr>
                <w:rFonts w:ascii="Times New Roman" w:hAnsi="Times New Roman"/>
                <w:sz w:val="24"/>
                <w:szCs w:val="24"/>
              </w:rPr>
              <w:t>Değiştirilmesi</w:t>
            </w:r>
          </w:p>
        </w:tc>
        <w:tc>
          <w:tcPr>
            <w:tcW w:w="425" w:type="dxa"/>
          </w:tcPr>
          <w:p w:rsidR="00A7762C" w:rsidRPr="00152FA3" w:rsidRDefault="00A7762C" w:rsidP="00152F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762C" w:rsidRPr="00152FA3" w:rsidRDefault="00A7762C" w:rsidP="00152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“(3)</w:t>
            </w:r>
          </w:p>
        </w:tc>
        <w:tc>
          <w:tcPr>
            <w:tcW w:w="7229" w:type="dxa"/>
          </w:tcPr>
          <w:p w:rsidR="00A7762C" w:rsidRPr="00152FA3" w:rsidRDefault="00A7762C" w:rsidP="00CD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Yukarıdaki </w:t>
            </w:r>
            <w:r w:rsidRPr="00152FA3">
              <w:rPr>
                <w:rFonts w:ascii="Times New Roman" w:hAnsi="Times New Roman"/>
                <w:color w:val="000000"/>
                <w:sz w:val="24"/>
                <w:szCs w:val="24"/>
              </w:rPr>
              <w:t>fıkralarda düzenle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nen birinci ve ikinci derece usu</w:t>
            </w:r>
            <w:r w:rsidRPr="00152F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lsüzlüklere ait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fiillerin 1 Ocak 2018</w:t>
            </w:r>
            <w:r w:rsidRPr="00152F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tarihinden ö</w:t>
            </w:r>
            <w:r w:rsidR="00305653">
              <w:rPr>
                <w:rFonts w:ascii="Times New Roman" w:hAnsi="Times New Roman"/>
                <w:color w:val="000000"/>
                <w:sz w:val="24"/>
                <w:szCs w:val="24"/>
              </w:rPr>
              <w:t>nce işlenmesi halinde, bu madde</w:t>
            </w:r>
            <w:r w:rsidRPr="00152FA3">
              <w:rPr>
                <w:rFonts w:ascii="Times New Roman" w:hAnsi="Times New Roman"/>
                <w:color w:val="000000"/>
                <w:sz w:val="24"/>
                <w:szCs w:val="24"/>
              </w:rPr>
              <w:t>de belirlenen usulsüzlük cezaları uygulanmaz.”</w:t>
            </w:r>
          </w:p>
        </w:tc>
      </w:tr>
      <w:tr w:rsidR="00A7762C" w:rsidRPr="00152FA3" w:rsidTr="00DA06D4">
        <w:tc>
          <w:tcPr>
            <w:tcW w:w="1702" w:type="dxa"/>
          </w:tcPr>
          <w:p w:rsidR="00A7762C" w:rsidRPr="00152FA3" w:rsidRDefault="00A7762C" w:rsidP="00152F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762C" w:rsidRPr="00152FA3" w:rsidRDefault="00A7762C" w:rsidP="00152F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762C" w:rsidRPr="00152FA3" w:rsidRDefault="00A7762C" w:rsidP="00152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A7762C" w:rsidRPr="00152FA3" w:rsidRDefault="00A7762C" w:rsidP="00152F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2C" w:rsidRPr="00152FA3" w:rsidTr="00DA06D4">
        <w:tc>
          <w:tcPr>
            <w:tcW w:w="1702" w:type="dxa"/>
          </w:tcPr>
          <w:p w:rsidR="00A7762C" w:rsidRPr="00152FA3" w:rsidRDefault="00A7762C" w:rsidP="00920E84">
            <w:pPr>
              <w:rPr>
                <w:rFonts w:ascii="Times New Roman" w:hAnsi="Times New Roman"/>
                <w:sz w:val="24"/>
                <w:szCs w:val="24"/>
              </w:rPr>
            </w:pPr>
            <w:r w:rsidRPr="00152FA3">
              <w:rPr>
                <w:rFonts w:ascii="Times New Roman" w:hAnsi="Times New Roman"/>
                <w:sz w:val="24"/>
                <w:szCs w:val="24"/>
              </w:rPr>
              <w:t xml:space="preserve">Esas Yasanın 252’nci Maddesinin </w:t>
            </w:r>
          </w:p>
        </w:tc>
        <w:tc>
          <w:tcPr>
            <w:tcW w:w="8363" w:type="dxa"/>
            <w:gridSpan w:val="3"/>
          </w:tcPr>
          <w:p w:rsidR="00A7762C" w:rsidRPr="00152FA3" w:rsidRDefault="00A7762C" w:rsidP="007D3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52FA3">
              <w:rPr>
                <w:rFonts w:ascii="Times New Roman" w:hAnsi="Times New Roman"/>
                <w:sz w:val="24"/>
                <w:szCs w:val="24"/>
              </w:rPr>
              <w:t>Esas Yasa, 2</w:t>
            </w:r>
            <w:r w:rsidR="00942AE8">
              <w:rPr>
                <w:rFonts w:ascii="Times New Roman" w:hAnsi="Times New Roman"/>
                <w:sz w:val="24"/>
                <w:szCs w:val="24"/>
              </w:rPr>
              <w:t>52’nci maddesi</w:t>
            </w:r>
            <w:r w:rsidR="000A529A">
              <w:rPr>
                <w:rFonts w:ascii="Times New Roman" w:hAnsi="Times New Roman"/>
                <w:sz w:val="24"/>
                <w:szCs w:val="24"/>
              </w:rPr>
              <w:t>nin mevcut kuralı</w:t>
            </w:r>
            <w:r w:rsidRPr="00152FA3">
              <w:rPr>
                <w:rFonts w:ascii="Times New Roman" w:hAnsi="Times New Roman"/>
                <w:sz w:val="24"/>
                <w:szCs w:val="24"/>
              </w:rPr>
              <w:t xml:space="preserve"> (1)’inci fıkra olarak </w:t>
            </w:r>
            <w:proofErr w:type="spellStart"/>
            <w:r w:rsidRPr="00152FA3">
              <w:rPr>
                <w:rFonts w:ascii="Times New Roman" w:hAnsi="Times New Roman"/>
                <w:sz w:val="24"/>
                <w:szCs w:val="24"/>
              </w:rPr>
              <w:t>sayılandırılmak</w:t>
            </w:r>
            <w:proofErr w:type="spellEnd"/>
            <w:r w:rsidRPr="00152FA3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="000A529A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152FA3">
              <w:rPr>
                <w:rFonts w:ascii="Times New Roman" w:hAnsi="Times New Roman"/>
                <w:sz w:val="24"/>
                <w:szCs w:val="24"/>
              </w:rPr>
              <w:t>aşağı</w:t>
            </w:r>
            <w:r>
              <w:rPr>
                <w:rFonts w:ascii="Times New Roman" w:hAnsi="Times New Roman"/>
                <w:sz w:val="24"/>
                <w:szCs w:val="24"/>
              </w:rPr>
              <w:t>daki yeni (2)’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nci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fıkra konmak</w:t>
            </w:r>
            <w:r w:rsidRPr="00152FA3">
              <w:rPr>
                <w:rFonts w:ascii="Times New Roman" w:hAnsi="Times New Roman"/>
                <w:sz w:val="24"/>
                <w:szCs w:val="24"/>
              </w:rPr>
              <w:t xml:space="preserve"> suretiyle değiştirilir:</w:t>
            </w:r>
          </w:p>
        </w:tc>
      </w:tr>
      <w:tr w:rsidR="00A7762C" w:rsidRPr="00152FA3" w:rsidTr="00DA06D4">
        <w:tc>
          <w:tcPr>
            <w:tcW w:w="1702" w:type="dxa"/>
          </w:tcPr>
          <w:p w:rsidR="00A7762C" w:rsidRPr="00152FA3" w:rsidRDefault="00A7762C" w:rsidP="007D372B">
            <w:pPr>
              <w:rPr>
                <w:rFonts w:ascii="Times New Roman" w:hAnsi="Times New Roman"/>
                <w:sz w:val="24"/>
                <w:szCs w:val="24"/>
              </w:rPr>
            </w:pPr>
            <w:r w:rsidRPr="00152FA3">
              <w:rPr>
                <w:rFonts w:ascii="Times New Roman" w:hAnsi="Times New Roman"/>
                <w:sz w:val="24"/>
                <w:szCs w:val="24"/>
              </w:rPr>
              <w:t>Değiştirilmesi</w:t>
            </w:r>
          </w:p>
        </w:tc>
        <w:tc>
          <w:tcPr>
            <w:tcW w:w="8363" w:type="dxa"/>
            <w:gridSpan w:val="3"/>
          </w:tcPr>
          <w:p w:rsidR="00A7762C" w:rsidRDefault="00A7762C" w:rsidP="007D3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2C" w:rsidRPr="00152FA3" w:rsidTr="00DA06D4">
        <w:tc>
          <w:tcPr>
            <w:tcW w:w="1702" w:type="dxa"/>
          </w:tcPr>
          <w:p w:rsidR="00A7762C" w:rsidRPr="00152FA3" w:rsidRDefault="00A7762C" w:rsidP="00152F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762C" w:rsidRPr="00152FA3" w:rsidRDefault="00A7762C" w:rsidP="00152F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762C" w:rsidRPr="00152FA3" w:rsidRDefault="00A7762C" w:rsidP="007D3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FA3">
              <w:rPr>
                <w:rFonts w:ascii="Times New Roman" w:hAnsi="Times New Roman"/>
                <w:sz w:val="24"/>
                <w:szCs w:val="24"/>
              </w:rPr>
              <w:t>“(2)</w:t>
            </w:r>
          </w:p>
        </w:tc>
        <w:tc>
          <w:tcPr>
            <w:tcW w:w="7229" w:type="dxa"/>
          </w:tcPr>
          <w:p w:rsidR="00A7762C" w:rsidRPr="00152FA3" w:rsidRDefault="00A7762C" w:rsidP="007D3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FA3">
              <w:rPr>
                <w:rFonts w:ascii="Times New Roman" w:hAnsi="Times New Roman"/>
                <w:color w:val="000000"/>
                <w:sz w:val="24"/>
                <w:szCs w:val="24"/>
              </w:rPr>
              <w:t>Veraset ve intikale konu beyannamelerin yasal süresinde verilmemesi halinde uygulanacak olan birinci ve ikinci derece usulsüzlük cezaları be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yanname verme süresi 1 Ocak 2018</w:t>
            </w:r>
            <w:r w:rsidRPr="00152F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tarihinden önce geçenlere uygulanmaz.” </w:t>
            </w:r>
          </w:p>
        </w:tc>
      </w:tr>
      <w:tr w:rsidR="00A7762C" w:rsidRPr="00152FA3" w:rsidTr="00DA06D4">
        <w:tc>
          <w:tcPr>
            <w:tcW w:w="1702" w:type="dxa"/>
          </w:tcPr>
          <w:p w:rsidR="00A7762C" w:rsidRPr="00152FA3" w:rsidRDefault="00A7762C" w:rsidP="00152F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762C" w:rsidRPr="00152FA3" w:rsidRDefault="00A7762C" w:rsidP="00152F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762C" w:rsidRPr="00152FA3" w:rsidRDefault="00A7762C" w:rsidP="007D3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7762C" w:rsidRPr="00152FA3" w:rsidRDefault="00A7762C" w:rsidP="007D37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762C" w:rsidRPr="00152FA3" w:rsidTr="00DA06D4">
        <w:tc>
          <w:tcPr>
            <w:tcW w:w="1702" w:type="dxa"/>
          </w:tcPr>
          <w:p w:rsidR="00A7762C" w:rsidRPr="00152FA3" w:rsidRDefault="00A7762C" w:rsidP="00920E84">
            <w:pPr>
              <w:rPr>
                <w:rFonts w:ascii="Times New Roman" w:hAnsi="Times New Roman"/>
                <w:sz w:val="24"/>
                <w:szCs w:val="24"/>
              </w:rPr>
            </w:pPr>
            <w:r w:rsidRPr="00152FA3">
              <w:rPr>
                <w:rFonts w:ascii="Times New Roman" w:hAnsi="Times New Roman"/>
                <w:sz w:val="24"/>
                <w:szCs w:val="24"/>
              </w:rPr>
              <w:t xml:space="preserve">Esas Yasanın 253’üncü </w:t>
            </w:r>
          </w:p>
        </w:tc>
        <w:tc>
          <w:tcPr>
            <w:tcW w:w="8363" w:type="dxa"/>
            <w:gridSpan w:val="3"/>
          </w:tcPr>
          <w:p w:rsidR="00A7762C" w:rsidRPr="00152FA3" w:rsidRDefault="00A7762C" w:rsidP="007D3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152FA3">
              <w:rPr>
                <w:rFonts w:ascii="Times New Roman" w:hAnsi="Times New Roman"/>
                <w:sz w:val="24"/>
                <w:szCs w:val="24"/>
              </w:rPr>
              <w:t>Esas Yasa, 253’üncü maddesinin (2)’</w:t>
            </w:r>
            <w:proofErr w:type="spellStart"/>
            <w:r w:rsidRPr="00152FA3">
              <w:rPr>
                <w:rFonts w:ascii="Times New Roman" w:hAnsi="Times New Roman"/>
                <w:sz w:val="24"/>
                <w:szCs w:val="24"/>
              </w:rPr>
              <w:t>nci</w:t>
            </w:r>
            <w:proofErr w:type="spellEnd"/>
            <w:r w:rsidRPr="00152FA3">
              <w:rPr>
                <w:rFonts w:ascii="Times New Roman" w:hAnsi="Times New Roman"/>
                <w:sz w:val="24"/>
                <w:szCs w:val="24"/>
              </w:rPr>
              <w:t xml:space="preserve"> fıkrasından hemen sonra aşağıd</w:t>
            </w:r>
            <w:r>
              <w:rPr>
                <w:rFonts w:ascii="Times New Roman" w:hAnsi="Times New Roman"/>
                <w:sz w:val="24"/>
                <w:szCs w:val="24"/>
              </w:rPr>
              <w:t>aki yeni (3)’üncü fıkra konmak</w:t>
            </w:r>
            <w:r w:rsidRPr="00152FA3">
              <w:rPr>
                <w:rFonts w:ascii="Times New Roman" w:hAnsi="Times New Roman"/>
                <w:sz w:val="24"/>
                <w:szCs w:val="24"/>
              </w:rPr>
              <w:t xml:space="preserve"> suretiyle değiştirilir:</w:t>
            </w:r>
          </w:p>
        </w:tc>
      </w:tr>
      <w:tr w:rsidR="00A7762C" w:rsidRPr="00152FA3" w:rsidTr="00DA06D4">
        <w:tc>
          <w:tcPr>
            <w:tcW w:w="1702" w:type="dxa"/>
          </w:tcPr>
          <w:p w:rsidR="00A7762C" w:rsidRPr="00152FA3" w:rsidRDefault="00A7762C" w:rsidP="00152FA3">
            <w:pPr>
              <w:rPr>
                <w:rFonts w:ascii="Times New Roman" w:hAnsi="Times New Roman"/>
                <w:sz w:val="24"/>
                <w:szCs w:val="24"/>
              </w:rPr>
            </w:pPr>
            <w:r w:rsidRPr="00152FA3">
              <w:rPr>
                <w:rFonts w:ascii="Times New Roman" w:hAnsi="Times New Roman"/>
                <w:sz w:val="24"/>
                <w:szCs w:val="24"/>
              </w:rPr>
              <w:t>Maddesinin</w:t>
            </w:r>
          </w:p>
        </w:tc>
        <w:tc>
          <w:tcPr>
            <w:tcW w:w="425" w:type="dxa"/>
          </w:tcPr>
          <w:p w:rsidR="00A7762C" w:rsidRPr="00152FA3" w:rsidRDefault="00A7762C" w:rsidP="00152F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762C" w:rsidRPr="00152FA3" w:rsidRDefault="00A7762C" w:rsidP="007D3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7762C" w:rsidRPr="00152FA3" w:rsidRDefault="00A7762C" w:rsidP="007D37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762C" w:rsidRPr="00152FA3" w:rsidTr="00DA06D4">
        <w:tc>
          <w:tcPr>
            <w:tcW w:w="1702" w:type="dxa"/>
          </w:tcPr>
          <w:p w:rsidR="00A7762C" w:rsidRPr="00152FA3" w:rsidRDefault="00A7762C" w:rsidP="00152FA3">
            <w:pPr>
              <w:rPr>
                <w:rFonts w:ascii="Times New Roman" w:hAnsi="Times New Roman"/>
                <w:sz w:val="24"/>
                <w:szCs w:val="24"/>
              </w:rPr>
            </w:pPr>
            <w:r w:rsidRPr="00152FA3">
              <w:rPr>
                <w:rFonts w:ascii="Times New Roman" w:hAnsi="Times New Roman"/>
                <w:sz w:val="24"/>
                <w:szCs w:val="24"/>
              </w:rPr>
              <w:t>Değiştirilmesi</w:t>
            </w:r>
          </w:p>
        </w:tc>
        <w:tc>
          <w:tcPr>
            <w:tcW w:w="425" w:type="dxa"/>
          </w:tcPr>
          <w:p w:rsidR="00A7762C" w:rsidRPr="00152FA3" w:rsidRDefault="00A7762C" w:rsidP="00152F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762C" w:rsidRPr="00152FA3" w:rsidRDefault="00A7762C" w:rsidP="007D3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FA3">
              <w:rPr>
                <w:rFonts w:ascii="Times New Roman" w:hAnsi="Times New Roman"/>
                <w:sz w:val="24"/>
                <w:szCs w:val="24"/>
              </w:rPr>
              <w:t>“(3)</w:t>
            </w:r>
          </w:p>
        </w:tc>
        <w:tc>
          <w:tcPr>
            <w:tcW w:w="7229" w:type="dxa"/>
          </w:tcPr>
          <w:p w:rsidR="00A7762C" w:rsidRPr="00152FA3" w:rsidRDefault="00A7762C" w:rsidP="008B2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FA3">
              <w:rPr>
                <w:rFonts w:ascii="Times New Roman" w:hAnsi="Times New Roman"/>
                <w:color w:val="000000"/>
                <w:sz w:val="24"/>
                <w:szCs w:val="24"/>
              </w:rPr>
              <w:t>Pul vergilerinin kayba uğratılmasına ilişkin özel usulsüzlük ceza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larına ait fiillerin 1 Ocak 2018</w:t>
            </w:r>
            <w:r w:rsidRPr="00152F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tarihinden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önce gerçekleşmesi halinde bu</w:t>
            </w:r>
            <w:r w:rsidRPr="00152F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madde kapsamında belirtilen özel usulsüzlük cezaları uygulanmaz.”</w:t>
            </w:r>
          </w:p>
        </w:tc>
      </w:tr>
      <w:tr w:rsidR="00A7762C" w:rsidRPr="00152FA3" w:rsidTr="00DA06D4">
        <w:tc>
          <w:tcPr>
            <w:tcW w:w="1702" w:type="dxa"/>
          </w:tcPr>
          <w:p w:rsidR="00A7762C" w:rsidRPr="00152FA3" w:rsidRDefault="00A7762C" w:rsidP="00152F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762C" w:rsidRPr="00152FA3" w:rsidRDefault="00A7762C" w:rsidP="00152F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762C" w:rsidRPr="00152FA3" w:rsidRDefault="00A7762C" w:rsidP="007D3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A7762C" w:rsidRPr="00152FA3" w:rsidRDefault="00A7762C" w:rsidP="007D3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62C" w:rsidRPr="00152FA3" w:rsidTr="00DA06D4">
        <w:tc>
          <w:tcPr>
            <w:tcW w:w="1702" w:type="dxa"/>
            <w:hideMark/>
          </w:tcPr>
          <w:p w:rsidR="00A7762C" w:rsidRPr="00152FA3" w:rsidRDefault="00A7762C" w:rsidP="00152FA3">
            <w:pPr>
              <w:rPr>
                <w:rFonts w:ascii="Times New Roman" w:hAnsi="Times New Roman"/>
                <w:sz w:val="24"/>
                <w:szCs w:val="24"/>
              </w:rPr>
            </w:pPr>
            <w:r w:rsidRPr="00152FA3">
              <w:rPr>
                <w:rFonts w:ascii="Times New Roman" w:hAnsi="Times New Roman"/>
                <w:sz w:val="24"/>
                <w:szCs w:val="24"/>
              </w:rPr>
              <w:lastRenderedPageBreak/>
              <w:t>Yürürlüğe Giriş</w:t>
            </w:r>
          </w:p>
        </w:tc>
        <w:tc>
          <w:tcPr>
            <w:tcW w:w="8363" w:type="dxa"/>
            <w:gridSpan w:val="3"/>
            <w:hideMark/>
          </w:tcPr>
          <w:p w:rsidR="00A7762C" w:rsidRPr="00152FA3" w:rsidRDefault="00A7762C" w:rsidP="00920E84">
            <w:pPr>
              <w:rPr>
                <w:rFonts w:ascii="Times New Roman" w:hAnsi="Times New Roman"/>
                <w:sz w:val="24"/>
                <w:szCs w:val="24"/>
              </w:rPr>
            </w:pPr>
            <w:r w:rsidRPr="00152FA3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FA3">
              <w:rPr>
                <w:rFonts w:ascii="Times New Roman" w:hAnsi="Times New Roman"/>
                <w:sz w:val="24"/>
                <w:szCs w:val="24"/>
              </w:rPr>
              <w:t xml:space="preserve">Bu Yasa, Resmi </w:t>
            </w:r>
            <w:proofErr w:type="spellStart"/>
            <w:r w:rsidRPr="00152FA3">
              <w:rPr>
                <w:rFonts w:ascii="Times New Roman" w:hAnsi="Times New Roman"/>
                <w:sz w:val="24"/>
                <w:szCs w:val="24"/>
              </w:rPr>
              <w:t>Gazete’de</w:t>
            </w:r>
            <w:proofErr w:type="spellEnd"/>
            <w:r w:rsidRPr="00152FA3">
              <w:rPr>
                <w:rFonts w:ascii="Times New Roman" w:hAnsi="Times New Roman"/>
                <w:sz w:val="24"/>
                <w:szCs w:val="24"/>
              </w:rPr>
              <w:t xml:space="preserve"> yayımlandığı tarihten başlayarak yürürlüğe girer.</w:t>
            </w:r>
          </w:p>
        </w:tc>
      </w:tr>
    </w:tbl>
    <w:p w:rsidR="00152FA3" w:rsidRPr="00152FA3" w:rsidRDefault="00152FA3" w:rsidP="00152F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1968" w:rsidRDefault="00D51968"/>
    <w:sectPr w:rsidR="00D5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E3F29"/>
    <w:multiLevelType w:val="hybridMultilevel"/>
    <w:tmpl w:val="C7A46F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A3"/>
    <w:rsid w:val="000A529A"/>
    <w:rsid w:val="00152FA3"/>
    <w:rsid w:val="001B738C"/>
    <w:rsid w:val="002B4A3B"/>
    <w:rsid w:val="002C5EED"/>
    <w:rsid w:val="003010C3"/>
    <w:rsid w:val="00305653"/>
    <w:rsid w:val="003132AD"/>
    <w:rsid w:val="005F2BEA"/>
    <w:rsid w:val="008B28B2"/>
    <w:rsid w:val="00920E84"/>
    <w:rsid w:val="00932058"/>
    <w:rsid w:val="00942AE8"/>
    <w:rsid w:val="0098591D"/>
    <w:rsid w:val="00A7762C"/>
    <w:rsid w:val="00CD4E6D"/>
    <w:rsid w:val="00D51968"/>
    <w:rsid w:val="00DA06D4"/>
    <w:rsid w:val="00F2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F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7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F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7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72634-3D37-4098-AF78-24F07736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gunduz</dc:creator>
  <cp:lastModifiedBy>guliz.avkan</cp:lastModifiedBy>
  <cp:revision>14</cp:revision>
  <cp:lastPrinted>2017-05-31T09:09:00Z</cp:lastPrinted>
  <dcterms:created xsi:type="dcterms:W3CDTF">2017-05-31T05:44:00Z</dcterms:created>
  <dcterms:modified xsi:type="dcterms:W3CDTF">2017-07-04T08:48:00Z</dcterms:modified>
</cp:coreProperties>
</file>