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76" w:rsidRPr="00F90076" w:rsidRDefault="00F90076" w:rsidP="00F90076">
      <w:pPr>
        <w:spacing w:after="0" w:line="240" w:lineRule="auto"/>
        <w:jc w:val="both"/>
        <w:rPr>
          <w:rFonts w:ascii="Times New Roman" w:eastAsia="Times New Roman" w:hAnsi="Times New Roman"/>
          <w:b/>
          <w:bCs/>
          <w:sz w:val="24"/>
          <w:szCs w:val="24"/>
          <w:lang w:eastAsia="tr-TR"/>
        </w:rPr>
      </w:pPr>
      <w:r w:rsidRPr="00F90076">
        <w:rPr>
          <w:rFonts w:ascii="Times New Roman" w:eastAsia="Times New Roman" w:hAnsi="Times New Roman"/>
          <w:b/>
          <w:bCs/>
          <w:sz w:val="24"/>
          <w:szCs w:val="24"/>
          <w:lang w:eastAsia="tr-TR"/>
        </w:rPr>
        <w:t xml:space="preserve">Kuzey Kıbrıs Türk Cumhuriyeti Cumhuriyet Meclisi’nin </w:t>
      </w:r>
      <w:r>
        <w:rPr>
          <w:rFonts w:ascii="Times New Roman" w:eastAsia="Times New Roman" w:hAnsi="Times New Roman"/>
          <w:b/>
          <w:bCs/>
          <w:sz w:val="24"/>
          <w:szCs w:val="24"/>
          <w:lang w:eastAsia="tr-TR"/>
        </w:rPr>
        <w:t>25</w:t>
      </w:r>
      <w:r w:rsidRPr="00F90076">
        <w:rPr>
          <w:rFonts w:ascii="Times New Roman" w:eastAsia="Times New Roman" w:hAnsi="Times New Roman"/>
          <w:b/>
          <w:bCs/>
          <w:sz w:val="24"/>
          <w:szCs w:val="24"/>
          <w:lang w:eastAsia="tr-TR"/>
        </w:rPr>
        <w:t xml:space="preserve"> Haziran 2018 tarihli </w:t>
      </w:r>
      <w:proofErr w:type="spellStart"/>
      <w:r>
        <w:rPr>
          <w:rFonts w:ascii="Times New Roman" w:eastAsia="Times New Roman" w:hAnsi="Times New Roman"/>
          <w:b/>
          <w:bCs/>
          <w:sz w:val="24"/>
          <w:szCs w:val="24"/>
          <w:lang w:eastAsia="tr-TR"/>
        </w:rPr>
        <w:t>Otuzdokuzuncu</w:t>
      </w:r>
      <w:proofErr w:type="spellEnd"/>
      <w:r>
        <w:rPr>
          <w:rFonts w:ascii="Times New Roman" w:eastAsia="Times New Roman" w:hAnsi="Times New Roman"/>
          <w:b/>
          <w:bCs/>
          <w:sz w:val="24"/>
          <w:szCs w:val="24"/>
          <w:lang w:eastAsia="tr-TR"/>
        </w:rPr>
        <w:t xml:space="preserve"> Birleşiminde Oybirliğiyle</w:t>
      </w:r>
      <w:r w:rsidRPr="00F90076">
        <w:rPr>
          <w:rFonts w:ascii="Times New Roman" w:eastAsia="Times New Roman" w:hAnsi="Times New Roman"/>
          <w:b/>
          <w:bCs/>
          <w:sz w:val="24"/>
          <w:szCs w:val="24"/>
          <w:lang w:eastAsia="tr-TR"/>
        </w:rPr>
        <w:t xml:space="preserve"> kabul olunan “</w:t>
      </w:r>
      <w:r w:rsidRPr="00F90076">
        <w:rPr>
          <w:rFonts w:ascii="Times New Roman" w:eastAsia="Times New Roman" w:hAnsi="Times New Roman"/>
          <w:b/>
          <w:bCs/>
          <w:sz w:val="24"/>
          <w:szCs w:val="24"/>
          <w:lang w:eastAsia="tr-TR"/>
        </w:rPr>
        <w:t>Yataklı Tedavi Kurumları Dairesi (Kuruluş, Görev ve Çalışma Esasları) (Değişiklik No:2) Yasası</w:t>
      </w:r>
      <w:r w:rsidRPr="00F90076">
        <w:rPr>
          <w:rFonts w:ascii="Times New Roman" w:eastAsia="Times New Roman" w:hAnsi="Times New Roman"/>
          <w:b/>
          <w:bCs/>
          <w:sz w:val="24"/>
          <w:szCs w:val="24"/>
          <w:lang w:eastAsia="tr-TR"/>
        </w:rPr>
        <w:t xml:space="preserve">” Anayasanın 94’üncü maddesinin (1)’inci fıkrası gereğince Kuzey Kıbrıs Türk Cumhuriyeti Cumhurbaşkanı tarafından Resmi </w:t>
      </w:r>
      <w:proofErr w:type="spellStart"/>
      <w:r w:rsidRPr="00F90076">
        <w:rPr>
          <w:rFonts w:ascii="Times New Roman" w:eastAsia="Times New Roman" w:hAnsi="Times New Roman"/>
          <w:b/>
          <w:bCs/>
          <w:sz w:val="24"/>
          <w:szCs w:val="24"/>
          <w:lang w:eastAsia="tr-TR"/>
        </w:rPr>
        <w:t>Gazete’de</w:t>
      </w:r>
      <w:proofErr w:type="spellEnd"/>
      <w:r w:rsidRPr="00F90076">
        <w:rPr>
          <w:rFonts w:ascii="Times New Roman" w:eastAsia="Times New Roman" w:hAnsi="Times New Roman"/>
          <w:b/>
          <w:bCs/>
          <w:sz w:val="24"/>
          <w:szCs w:val="24"/>
          <w:lang w:eastAsia="tr-TR"/>
        </w:rPr>
        <w:t xml:space="preserve"> yayımlanmak suretiyle ilan olunur.</w:t>
      </w:r>
    </w:p>
    <w:p w:rsidR="00F90076" w:rsidRPr="00F90076" w:rsidRDefault="00F90076" w:rsidP="00F90076">
      <w:pPr>
        <w:spacing w:after="0" w:line="240" w:lineRule="auto"/>
        <w:jc w:val="both"/>
        <w:rPr>
          <w:rFonts w:ascii="Times New Roman" w:eastAsia="Times New Roman" w:hAnsi="Times New Roman"/>
          <w:sz w:val="24"/>
          <w:szCs w:val="24"/>
          <w:lang w:eastAsia="tr-TR"/>
        </w:rPr>
      </w:pPr>
    </w:p>
    <w:p w:rsidR="00F90076" w:rsidRPr="00F90076" w:rsidRDefault="00F90076" w:rsidP="00F90076">
      <w:pPr>
        <w:spacing w:after="0" w:line="240" w:lineRule="auto"/>
        <w:jc w:val="center"/>
        <w:rPr>
          <w:rFonts w:ascii="Times New Roman" w:eastAsia="Times New Roman" w:hAnsi="Times New Roman"/>
          <w:b/>
          <w:sz w:val="24"/>
          <w:szCs w:val="24"/>
          <w:lang w:eastAsia="tr-TR"/>
        </w:rPr>
      </w:pPr>
      <w:r w:rsidRPr="00F90076">
        <w:rPr>
          <w:rFonts w:ascii="Times New Roman" w:eastAsia="Times New Roman" w:hAnsi="Times New Roman"/>
          <w:b/>
          <w:sz w:val="24"/>
          <w:szCs w:val="24"/>
          <w:lang w:eastAsia="tr-TR"/>
        </w:rPr>
        <w:t>Sayı:</w:t>
      </w:r>
      <w:r>
        <w:rPr>
          <w:rFonts w:ascii="Times New Roman" w:eastAsia="Times New Roman" w:hAnsi="Times New Roman"/>
          <w:b/>
          <w:sz w:val="24"/>
          <w:szCs w:val="24"/>
          <w:lang w:eastAsia="tr-TR"/>
        </w:rPr>
        <w:t xml:space="preserve"> </w:t>
      </w:r>
      <w:bookmarkStart w:id="0" w:name="_GoBack"/>
      <w:bookmarkEnd w:id="0"/>
      <w:r w:rsidRPr="00F90076">
        <w:rPr>
          <w:rFonts w:ascii="Times New Roman" w:eastAsia="Times New Roman" w:hAnsi="Times New Roman"/>
          <w:b/>
          <w:sz w:val="24"/>
          <w:szCs w:val="24"/>
          <w:lang w:eastAsia="tr-TR"/>
        </w:rPr>
        <w:t>27</w:t>
      </w:r>
      <w:r w:rsidRPr="00F90076">
        <w:rPr>
          <w:rFonts w:ascii="Times New Roman" w:eastAsia="Times New Roman" w:hAnsi="Times New Roman"/>
          <w:b/>
          <w:sz w:val="24"/>
          <w:szCs w:val="24"/>
          <w:lang w:eastAsia="tr-TR"/>
        </w:rPr>
        <w:t>/2018</w:t>
      </w:r>
    </w:p>
    <w:p w:rsidR="00F90076" w:rsidRPr="00F90076" w:rsidRDefault="00F90076" w:rsidP="00F90076">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rPr>
      </w:pPr>
    </w:p>
    <w:p w:rsidR="00F90076" w:rsidRDefault="00F90076" w:rsidP="00F90076">
      <w:pPr>
        <w:spacing w:after="0" w:line="240" w:lineRule="auto"/>
        <w:jc w:val="center"/>
        <w:rPr>
          <w:rFonts w:ascii="Times New Roman" w:hAnsi="Times New Roman"/>
          <w:sz w:val="24"/>
          <w:szCs w:val="24"/>
        </w:rPr>
      </w:pPr>
    </w:p>
    <w:p w:rsidR="00F90076" w:rsidRDefault="00F90076" w:rsidP="00F90076">
      <w:pPr>
        <w:spacing w:after="0" w:line="240" w:lineRule="auto"/>
        <w:jc w:val="center"/>
        <w:rPr>
          <w:rFonts w:ascii="Times New Roman" w:hAnsi="Times New Roman"/>
          <w:sz w:val="24"/>
          <w:szCs w:val="24"/>
        </w:rPr>
      </w:pPr>
    </w:p>
    <w:tbl>
      <w:tblPr>
        <w:tblW w:w="9034" w:type="dxa"/>
        <w:tblInd w:w="-212" w:type="dxa"/>
        <w:tblLook w:val="00A0" w:firstRow="1" w:lastRow="0" w:firstColumn="1" w:lastColumn="0" w:noHBand="0" w:noVBand="0"/>
      </w:tblPr>
      <w:tblGrid>
        <w:gridCol w:w="1716"/>
        <w:gridCol w:w="447"/>
        <w:gridCol w:w="567"/>
        <w:gridCol w:w="6304"/>
      </w:tblGrid>
      <w:tr w:rsidR="00F90076" w:rsidTr="00F90076">
        <w:tc>
          <w:tcPr>
            <w:tcW w:w="9034" w:type="dxa"/>
            <w:gridSpan w:val="4"/>
            <w:hideMark/>
          </w:tcPr>
          <w:p w:rsidR="00F90076" w:rsidRDefault="00F90076">
            <w:pPr>
              <w:spacing w:after="0" w:line="240" w:lineRule="auto"/>
              <w:jc w:val="center"/>
              <w:rPr>
                <w:rFonts w:ascii="Times New Roman" w:hAnsi="Times New Roman"/>
                <w:sz w:val="24"/>
                <w:szCs w:val="24"/>
              </w:rPr>
            </w:pPr>
            <w:r>
              <w:rPr>
                <w:rFonts w:ascii="Times New Roman" w:hAnsi="Times New Roman"/>
                <w:sz w:val="24"/>
                <w:szCs w:val="24"/>
              </w:rPr>
              <w:t xml:space="preserve">YATAKLI TEDAVİ KURUMLARI DAİRESİ </w:t>
            </w:r>
          </w:p>
          <w:p w:rsidR="00F90076" w:rsidRDefault="00F90076">
            <w:pPr>
              <w:spacing w:after="0" w:line="240" w:lineRule="auto"/>
              <w:jc w:val="center"/>
              <w:rPr>
                <w:rFonts w:ascii="Times New Roman" w:hAnsi="Times New Roman"/>
                <w:sz w:val="24"/>
                <w:szCs w:val="24"/>
              </w:rPr>
            </w:pPr>
            <w:r>
              <w:rPr>
                <w:rFonts w:ascii="Times New Roman" w:hAnsi="Times New Roman"/>
                <w:sz w:val="24"/>
                <w:szCs w:val="24"/>
              </w:rPr>
              <w:t>(KURULUŞ, GÖREV VE ÇALIŞMA ESASLARI) (DEĞİŞİKLİK NO:2)</w:t>
            </w:r>
          </w:p>
          <w:p w:rsidR="00F90076" w:rsidRDefault="00F90076">
            <w:pPr>
              <w:spacing w:after="0" w:line="240" w:lineRule="auto"/>
              <w:jc w:val="center"/>
              <w:rPr>
                <w:rFonts w:ascii="Times New Roman" w:hAnsi="Times New Roman"/>
                <w:sz w:val="24"/>
                <w:szCs w:val="24"/>
              </w:rPr>
            </w:pPr>
            <w:r>
              <w:rPr>
                <w:rFonts w:ascii="Times New Roman" w:hAnsi="Times New Roman"/>
                <w:sz w:val="24"/>
                <w:szCs w:val="24"/>
              </w:rPr>
              <w:t>YASASI</w:t>
            </w:r>
          </w:p>
        </w:tc>
      </w:tr>
      <w:tr w:rsidR="00F90076" w:rsidTr="00F90076">
        <w:tc>
          <w:tcPr>
            <w:tcW w:w="1716" w:type="dxa"/>
          </w:tcPr>
          <w:p w:rsidR="00F90076" w:rsidRDefault="00F90076">
            <w:pPr>
              <w:spacing w:after="0" w:line="240" w:lineRule="auto"/>
              <w:jc w:val="both"/>
              <w:rPr>
                <w:rFonts w:ascii="Times New Roman" w:hAnsi="Times New Roman"/>
                <w:sz w:val="24"/>
                <w:szCs w:val="24"/>
              </w:rPr>
            </w:pPr>
          </w:p>
        </w:tc>
        <w:tc>
          <w:tcPr>
            <w:tcW w:w="7318" w:type="dxa"/>
            <w:gridSpan w:val="3"/>
          </w:tcPr>
          <w:p w:rsidR="00F90076" w:rsidRDefault="00F90076">
            <w:pPr>
              <w:spacing w:after="0" w:line="240" w:lineRule="auto"/>
              <w:jc w:val="both"/>
              <w:rPr>
                <w:rFonts w:ascii="Times New Roman" w:hAnsi="Times New Roman"/>
                <w:sz w:val="24"/>
                <w:szCs w:val="24"/>
              </w:rPr>
            </w:pPr>
          </w:p>
        </w:tc>
      </w:tr>
      <w:tr w:rsidR="00F90076" w:rsidTr="00F90076">
        <w:tc>
          <w:tcPr>
            <w:tcW w:w="1716" w:type="dxa"/>
          </w:tcPr>
          <w:p w:rsidR="00F90076" w:rsidRDefault="00F90076">
            <w:pPr>
              <w:spacing w:after="0" w:line="240" w:lineRule="auto"/>
              <w:jc w:val="both"/>
              <w:rPr>
                <w:rFonts w:ascii="Times New Roman" w:hAnsi="Times New Roman"/>
                <w:sz w:val="24"/>
                <w:szCs w:val="24"/>
              </w:rPr>
            </w:pPr>
          </w:p>
        </w:tc>
        <w:tc>
          <w:tcPr>
            <w:tcW w:w="7318" w:type="dxa"/>
            <w:gridSpan w:val="3"/>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      Kuzey Kıbrıs Türk Cumhuriyeti Cumhuriyet Meclisi aşağıdaki Yasayı yapar:</w:t>
            </w:r>
          </w:p>
        </w:tc>
      </w:tr>
      <w:tr w:rsidR="00F90076" w:rsidTr="00F90076">
        <w:tc>
          <w:tcPr>
            <w:tcW w:w="1716" w:type="dxa"/>
          </w:tcPr>
          <w:p w:rsidR="00F90076" w:rsidRDefault="00F90076">
            <w:pPr>
              <w:spacing w:after="0" w:line="240" w:lineRule="auto"/>
              <w:jc w:val="both"/>
              <w:rPr>
                <w:rFonts w:ascii="Times New Roman" w:hAnsi="Times New Roman"/>
                <w:sz w:val="24"/>
                <w:szCs w:val="24"/>
              </w:rPr>
            </w:pPr>
          </w:p>
        </w:tc>
        <w:tc>
          <w:tcPr>
            <w:tcW w:w="7318" w:type="dxa"/>
            <w:gridSpan w:val="3"/>
          </w:tcPr>
          <w:p w:rsidR="00F90076" w:rsidRDefault="00F90076">
            <w:pPr>
              <w:spacing w:after="0" w:line="240" w:lineRule="auto"/>
              <w:jc w:val="both"/>
              <w:rPr>
                <w:rFonts w:ascii="Times New Roman" w:hAnsi="Times New Roman"/>
                <w:sz w:val="24"/>
                <w:szCs w:val="24"/>
              </w:rPr>
            </w:pPr>
          </w:p>
        </w:tc>
      </w:tr>
      <w:tr w:rsidR="00F90076" w:rsidTr="00F90076">
        <w:tc>
          <w:tcPr>
            <w:tcW w:w="1716"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Kısa İsim</w:t>
            </w:r>
          </w:p>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34/2007</w:t>
            </w:r>
          </w:p>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  19/2016</w:t>
            </w:r>
          </w:p>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    2/2018</w:t>
            </w:r>
          </w:p>
        </w:tc>
        <w:tc>
          <w:tcPr>
            <w:tcW w:w="7318" w:type="dxa"/>
            <w:gridSpan w:val="3"/>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1. Bu Yasa, Yataklı Tedavi Kurumları Dairesi (Kuruluş, Görev ve Çalışma Esasları) (Değişiklik No:2) Yasası olarak isimlendirilir ve aşağıda “Esas Yasa” olarak anılan Yataklı Tedavi Kurumları Dairesi (Kuruluş, Görev ve Çalışma Esasları) </w:t>
            </w:r>
            <w:proofErr w:type="gramStart"/>
            <w:r>
              <w:rPr>
                <w:rFonts w:ascii="Times New Roman" w:hAnsi="Times New Roman"/>
                <w:sz w:val="24"/>
                <w:szCs w:val="24"/>
              </w:rPr>
              <w:t>Yasası  ile</w:t>
            </w:r>
            <w:proofErr w:type="gramEnd"/>
            <w:r>
              <w:rPr>
                <w:rFonts w:ascii="Times New Roman" w:hAnsi="Times New Roman"/>
                <w:sz w:val="24"/>
                <w:szCs w:val="24"/>
              </w:rPr>
              <w:t xml:space="preserve"> birlikte okunur.</w:t>
            </w:r>
          </w:p>
        </w:tc>
      </w:tr>
      <w:tr w:rsidR="00F90076" w:rsidTr="00F90076">
        <w:tc>
          <w:tcPr>
            <w:tcW w:w="1716" w:type="dxa"/>
          </w:tcPr>
          <w:p w:rsidR="00F90076" w:rsidRDefault="00F90076">
            <w:pPr>
              <w:spacing w:after="0" w:line="240" w:lineRule="auto"/>
              <w:jc w:val="both"/>
              <w:rPr>
                <w:rFonts w:ascii="Times New Roman" w:hAnsi="Times New Roman"/>
                <w:sz w:val="24"/>
                <w:szCs w:val="24"/>
              </w:rPr>
            </w:pPr>
          </w:p>
        </w:tc>
        <w:tc>
          <w:tcPr>
            <w:tcW w:w="7318" w:type="dxa"/>
            <w:gridSpan w:val="3"/>
          </w:tcPr>
          <w:p w:rsidR="00F90076" w:rsidRDefault="00F90076">
            <w:pPr>
              <w:spacing w:after="0" w:line="240" w:lineRule="auto"/>
              <w:jc w:val="both"/>
              <w:rPr>
                <w:rFonts w:ascii="Times New Roman" w:hAnsi="Times New Roman"/>
                <w:sz w:val="24"/>
                <w:szCs w:val="24"/>
              </w:rPr>
            </w:pPr>
          </w:p>
        </w:tc>
      </w:tr>
      <w:tr w:rsidR="00F90076" w:rsidTr="00F90076">
        <w:trPr>
          <w:trHeight w:val="535"/>
        </w:trPr>
        <w:tc>
          <w:tcPr>
            <w:tcW w:w="1716"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Esas Yasanın</w:t>
            </w:r>
          </w:p>
          <w:p w:rsidR="00F90076" w:rsidRDefault="00F90076">
            <w:pPr>
              <w:spacing w:after="0" w:line="240" w:lineRule="auto"/>
              <w:rPr>
                <w:rFonts w:ascii="Times New Roman" w:hAnsi="Times New Roman"/>
                <w:sz w:val="24"/>
                <w:szCs w:val="24"/>
              </w:rPr>
            </w:pPr>
            <w:r>
              <w:rPr>
                <w:rFonts w:ascii="Times New Roman" w:hAnsi="Times New Roman"/>
                <w:sz w:val="24"/>
                <w:szCs w:val="24"/>
              </w:rPr>
              <w:t xml:space="preserve">12’nci Maddesine Bağlı Birinci Cetvelin </w:t>
            </w:r>
          </w:p>
        </w:tc>
        <w:tc>
          <w:tcPr>
            <w:tcW w:w="447"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2.</w:t>
            </w:r>
          </w:p>
        </w:tc>
        <w:tc>
          <w:tcPr>
            <w:tcW w:w="567"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(1)</w:t>
            </w:r>
          </w:p>
        </w:tc>
        <w:tc>
          <w:tcPr>
            <w:tcW w:w="6304"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Esas Yasa, 12’nci maddesinin (1)’inci fıkrasına bağlı Birinci Cetvelde yer alan “IV. Derece Acil Tıp Teknisyeni” kadrosunda kadro sayısı olarak yer alan “4” rakamı kaldırılmak ve yerine “24” rakamı konmak suretiyle değiştirilir.</w:t>
            </w:r>
          </w:p>
        </w:tc>
      </w:tr>
      <w:tr w:rsidR="00F90076" w:rsidTr="00F90076">
        <w:trPr>
          <w:trHeight w:val="140"/>
        </w:trPr>
        <w:tc>
          <w:tcPr>
            <w:tcW w:w="1716"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Değiştirilmesi</w:t>
            </w:r>
          </w:p>
        </w:tc>
        <w:tc>
          <w:tcPr>
            <w:tcW w:w="447" w:type="dxa"/>
          </w:tcPr>
          <w:p w:rsidR="00F90076" w:rsidRDefault="00F90076">
            <w:pPr>
              <w:spacing w:after="0" w:line="240" w:lineRule="auto"/>
              <w:jc w:val="both"/>
              <w:rPr>
                <w:rFonts w:ascii="Times New Roman" w:hAnsi="Times New Roman"/>
                <w:sz w:val="24"/>
                <w:szCs w:val="24"/>
              </w:rPr>
            </w:pPr>
          </w:p>
        </w:tc>
        <w:tc>
          <w:tcPr>
            <w:tcW w:w="567" w:type="dxa"/>
          </w:tcPr>
          <w:p w:rsidR="00F90076" w:rsidRDefault="00F90076">
            <w:pPr>
              <w:spacing w:after="0" w:line="240" w:lineRule="auto"/>
              <w:jc w:val="both"/>
              <w:rPr>
                <w:rFonts w:ascii="Times New Roman" w:hAnsi="Times New Roman"/>
                <w:sz w:val="24"/>
                <w:szCs w:val="24"/>
              </w:rPr>
            </w:pPr>
          </w:p>
        </w:tc>
        <w:tc>
          <w:tcPr>
            <w:tcW w:w="6304" w:type="dxa"/>
          </w:tcPr>
          <w:p w:rsidR="00F90076" w:rsidRDefault="00F90076">
            <w:pPr>
              <w:spacing w:after="0" w:line="240" w:lineRule="auto"/>
              <w:jc w:val="both"/>
              <w:rPr>
                <w:rFonts w:ascii="Times New Roman" w:hAnsi="Times New Roman"/>
                <w:sz w:val="24"/>
                <w:szCs w:val="24"/>
              </w:rPr>
            </w:pPr>
          </w:p>
        </w:tc>
      </w:tr>
      <w:tr w:rsidR="00F90076" w:rsidTr="00F90076">
        <w:tc>
          <w:tcPr>
            <w:tcW w:w="1716" w:type="dxa"/>
          </w:tcPr>
          <w:p w:rsidR="00F90076" w:rsidRDefault="00F90076">
            <w:pPr>
              <w:spacing w:after="0" w:line="240" w:lineRule="auto"/>
              <w:jc w:val="both"/>
              <w:rPr>
                <w:rFonts w:ascii="Times New Roman" w:hAnsi="Times New Roman"/>
                <w:sz w:val="24"/>
                <w:szCs w:val="24"/>
              </w:rPr>
            </w:pPr>
          </w:p>
        </w:tc>
        <w:tc>
          <w:tcPr>
            <w:tcW w:w="447" w:type="dxa"/>
          </w:tcPr>
          <w:p w:rsidR="00F90076" w:rsidRDefault="00F90076">
            <w:pPr>
              <w:spacing w:after="0" w:line="240" w:lineRule="auto"/>
              <w:jc w:val="both"/>
              <w:rPr>
                <w:rFonts w:ascii="Times New Roman" w:hAnsi="Times New Roman"/>
                <w:sz w:val="24"/>
                <w:szCs w:val="24"/>
              </w:rPr>
            </w:pPr>
          </w:p>
          <w:p w:rsidR="00F90076" w:rsidRDefault="00F90076">
            <w:pPr>
              <w:spacing w:after="0" w:line="240" w:lineRule="auto"/>
              <w:jc w:val="both"/>
              <w:rPr>
                <w:rFonts w:ascii="Times New Roman" w:hAnsi="Times New Roman"/>
                <w:sz w:val="24"/>
                <w:szCs w:val="24"/>
              </w:rPr>
            </w:pPr>
          </w:p>
          <w:p w:rsidR="00F90076" w:rsidRDefault="00F90076">
            <w:pPr>
              <w:spacing w:after="0" w:line="240" w:lineRule="auto"/>
              <w:jc w:val="both"/>
              <w:rPr>
                <w:rFonts w:ascii="Times New Roman" w:hAnsi="Times New Roman"/>
                <w:sz w:val="24"/>
                <w:szCs w:val="24"/>
              </w:rPr>
            </w:pPr>
          </w:p>
          <w:p w:rsidR="00F90076" w:rsidRDefault="00F90076">
            <w:pPr>
              <w:spacing w:after="0" w:line="240" w:lineRule="auto"/>
              <w:jc w:val="both"/>
              <w:rPr>
                <w:rFonts w:ascii="Times New Roman" w:hAnsi="Times New Roman"/>
                <w:sz w:val="24"/>
                <w:szCs w:val="24"/>
              </w:rPr>
            </w:pPr>
          </w:p>
          <w:p w:rsidR="00F90076" w:rsidRDefault="00F90076">
            <w:pPr>
              <w:spacing w:after="0" w:line="240" w:lineRule="auto"/>
              <w:jc w:val="both"/>
              <w:rPr>
                <w:rFonts w:ascii="Times New Roman" w:hAnsi="Times New Roman"/>
                <w:sz w:val="24"/>
                <w:szCs w:val="24"/>
              </w:rPr>
            </w:pPr>
          </w:p>
        </w:tc>
        <w:tc>
          <w:tcPr>
            <w:tcW w:w="567"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 (2)</w:t>
            </w:r>
          </w:p>
        </w:tc>
        <w:tc>
          <w:tcPr>
            <w:tcW w:w="6304"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Esas Yasa, 12’nci maddesinin (1)’inci fıkrasına bağlı Birinci Cetvelin sonunda yer alan “1580 Toplam” rakam ve söz dizisi kaldırılmak ve yerine “1600 Toplam” rakam ve söz dizisi konmak; “1730 Genel Toplam” rakam ve söz dizisi kaldırılmak ve yerine “1750 Genel Toplam” rakam ve söz dizisi konmak suretiyle değiştirilir.</w:t>
            </w:r>
          </w:p>
        </w:tc>
      </w:tr>
      <w:tr w:rsidR="00F90076" w:rsidTr="00F90076">
        <w:tc>
          <w:tcPr>
            <w:tcW w:w="9034" w:type="dxa"/>
            <w:gridSpan w:val="4"/>
          </w:tcPr>
          <w:p w:rsidR="00F90076" w:rsidRDefault="00F90076">
            <w:pPr>
              <w:spacing w:after="0" w:line="240" w:lineRule="auto"/>
              <w:jc w:val="both"/>
              <w:rPr>
                <w:rFonts w:ascii="Times New Roman" w:hAnsi="Times New Roman"/>
                <w:sz w:val="24"/>
                <w:szCs w:val="24"/>
              </w:rPr>
            </w:pPr>
          </w:p>
        </w:tc>
      </w:tr>
      <w:tr w:rsidR="00F90076" w:rsidTr="00F90076">
        <w:trPr>
          <w:trHeight w:val="226"/>
        </w:trPr>
        <w:tc>
          <w:tcPr>
            <w:tcW w:w="1716" w:type="dxa"/>
            <w:hideMark/>
          </w:tcPr>
          <w:p w:rsidR="00F90076" w:rsidRDefault="00F90076">
            <w:pPr>
              <w:spacing w:after="0" w:line="240" w:lineRule="auto"/>
              <w:rPr>
                <w:rFonts w:ascii="Times New Roman" w:hAnsi="Times New Roman"/>
                <w:sz w:val="24"/>
                <w:szCs w:val="24"/>
              </w:rPr>
            </w:pPr>
            <w:r>
              <w:rPr>
                <w:rFonts w:ascii="Times New Roman" w:hAnsi="Times New Roman"/>
                <w:sz w:val="24"/>
                <w:szCs w:val="24"/>
              </w:rPr>
              <w:t xml:space="preserve">Esas Yasanın 13’üncü Maddesine Bağlı İkinci Cetvelin </w:t>
            </w:r>
          </w:p>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Değiştirilmesi</w:t>
            </w:r>
          </w:p>
        </w:tc>
        <w:tc>
          <w:tcPr>
            <w:tcW w:w="7318" w:type="dxa"/>
            <w:gridSpan w:val="3"/>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3. Esas Yasa, 13’üncü maddesine bağlı İkinci Cetvelde yer alan “IV. Derece Acil Tıp Teknisyeni” kadro hizmet şemasının baş kısmında yer alan “Kadro Sayısı: 4” söz dizisi ve rakamı kaldırılmak ve yerine “Kadro Sayısı: 24” söz dizisi ve rakamı konmak suretiyle değiştirilir.</w:t>
            </w:r>
          </w:p>
        </w:tc>
      </w:tr>
      <w:tr w:rsidR="00F90076" w:rsidTr="00F90076">
        <w:trPr>
          <w:trHeight w:val="261"/>
        </w:trPr>
        <w:tc>
          <w:tcPr>
            <w:tcW w:w="1716" w:type="dxa"/>
          </w:tcPr>
          <w:p w:rsidR="00F90076" w:rsidRDefault="00F90076">
            <w:pPr>
              <w:spacing w:after="0" w:line="240" w:lineRule="auto"/>
              <w:jc w:val="both"/>
              <w:rPr>
                <w:rFonts w:ascii="Times New Roman" w:hAnsi="Times New Roman"/>
                <w:sz w:val="24"/>
                <w:szCs w:val="24"/>
              </w:rPr>
            </w:pPr>
          </w:p>
        </w:tc>
        <w:tc>
          <w:tcPr>
            <w:tcW w:w="7318" w:type="dxa"/>
            <w:gridSpan w:val="3"/>
          </w:tcPr>
          <w:p w:rsidR="00F90076" w:rsidRDefault="00F90076">
            <w:pPr>
              <w:spacing w:after="0" w:line="240" w:lineRule="auto"/>
              <w:jc w:val="both"/>
              <w:rPr>
                <w:rFonts w:ascii="Times New Roman" w:hAnsi="Times New Roman"/>
                <w:sz w:val="24"/>
                <w:szCs w:val="24"/>
              </w:rPr>
            </w:pPr>
          </w:p>
        </w:tc>
      </w:tr>
      <w:tr w:rsidR="00F90076" w:rsidTr="00F90076">
        <w:trPr>
          <w:trHeight w:val="80"/>
        </w:trPr>
        <w:tc>
          <w:tcPr>
            <w:tcW w:w="1716" w:type="dxa"/>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Yürürlüğe Giriş</w:t>
            </w:r>
          </w:p>
        </w:tc>
        <w:tc>
          <w:tcPr>
            <w:tcW w:w="7318" w:type="dxa"/>
            <w:gridSpan w:val="3"/>
            <w:hideMark/>
          </w:tcPr>
          <w:p w:rsidR="00F90076" w:rsidRDefault="00F90076">
            <w:pPr>
              <w:spacing w:after="0" w:line="240" w:lineRule="auto"/>
              <w:jc w:val="both"/>
              <w:rPr>
                <w:rFonts w:ascii="Times New Roman" w:hAnsi="Times New Roman"/>
                <w:sz w:val="24"/>
                <w:szCs w:val="24"/>
              </w:rPr>
            </w:pPr>
            <w:r>
              <w:rPr>
                <w:rFonts w:ascii="Times New Roman" w:hAnsi="Times New Roman"/>
                <w:sz w:val="24"/>
                <w:szCs w:val="24"/>
              </w:rPr>
              <w:t xml:space="preserve">4. Bu Yasa, Resmi </w:t>
            </w:r>
            <w:proofErr w:type="spellStart"/>
            <w:r>
              <w:rPr>
                <w:rFonts w:ascii="Times New Roman" w:hAnsi="Times New Roman"/>
                <w:sz w:val="24"/>
                <w:szCs w:val="24"/>
              </w:rPr>
              <w:t>Gazete’de</w:t>
            </w:r>
            <w:proofErr w:type="spellEnd"/>
            <w:r>
              <w:rPr>
                <w:rFonts w:ascii="Times New Roman" w:hAnsi="Times New Roman"/>
                <w:sz w:val="24"/>
                <w:szCs w:val="24"/>
              </w:rPr>
              <w:t xml:space="preserve"> yayımlandığı tarihten başlayarak yürürlüğe girer.</w:t>
            </w:r>
          </w:p>
        </w:tc>
      </w:tr>
    </w:tbl>
    <w:p w:rsidR="00F90076" w:rsidRDefault="00F90076" w:rsidP="00F90076">
      <w:pPr>
        <w:spacing w:after="0" w:line="240" w:lineRule="auto"/>
        <w:jc w:val="center"/>
        <w:rPr>
          <w:rFonts w:ascii="Times New Roman" w:hAnsi="Times New Roman"/>
        </w:rPr>
      </w:pPr>
    </w:p>
    <w:p w:rsidR="00F90076" w:rsidRDefault="00F90076" w:rsidP="00F90076">
      <w:pPr>
        <w:spacing w:after="0" w:line="240" w:lineRule="auto"/>
        <w:jc w:val="center"/>
        <w:rPr>
          <w:rFonts w:ascii="Times New Roman" w:hAnsi="Times New Roman"/>
          <w:b/>
        </w:rPr>
      </w:pPr>
    </w:p>
    <w:p w:rsidR="00F90076" w:rsidRDefault="00F90076" w:rsidP="00F90076">
      <w:pPr>
        <w:spacing w:after="0" w:line="240" w:lineRule="auto"/>
        <w:jc w:val="center"/>
        <w:rPr>
          <w:rFonts w:ascii="Times New Roman" w:hAnsi="Times New Roman"/>
          <w:b/>
        </w:rPr>
      </w:pPr>
    </w:p>
    <w:p w:rsidR="00F90076" w:rsidRDefault="00F90076" w:rsidP="00F90076">
      <w:pPr>
        <w:spacing w:after="0" w:line="240" w:lineRule="auto"/>
        <w:jc w:val="center"/>
        <w:rPr>
          <w:rFonts w:ascii="Times New Roman" w:hAnsi="Times New Roman"/>
          <w:b/>
        </w:rPr>
      </w:pPr>
    </w:p>
    <w:p w:rsidR="00F90076" w:rsidRDefault="00F90076" w:rsidP="00F90076"/>
    <w:p w:rsidR="00F90076" w:rsidRDefault="00F90076" w:rsidP="00F90076"/>
    <w:p w:rsidR="00F90076" w:rsidRDefault="00F90076" w:rsidP="00F90076"/>
    <w:p w:rsidR="00F90076" w:rsidRDefault="00F90076" w:rsidP="00F90076"/>
    <w:p w:rsidR="00B74CB7" w:rsidRDefault="00B74CB7"/>
    <w:sectPr w:rsidR="00B74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B63"/>
    <w:rsid w:val="00B74CB7"/>
    <w:rsid w:val="00F90076"/>
    <w:rsid w:val="00FF4B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7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76"/>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2</cp:revision>
  <dcterms:created xsi:type="dcterms:W3CDTF">2018-07-09T10:39:00Z</dcterms:created>
  <dcterms:modified xsi:type="dcterms:W3CDTF">2018-07-09T10:39:00Z</dcterms:modified>
</cp:coreProperties>
</file>