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38" w:rsidRDefault="00113B38" w:rsidP="00113B38">
      <w:pPr>
        <w:widowControl/>
        <w:autoSpaceDE/>
        <w:autoSpaceDN/>
        <w:jc w:val="both"/>
        <w:rPr>
          <w:bCs/>
          <w:sz w:val="24"/>
          <w:szCs w:val="24"/>
          <w:lang w:val="tr-TR" w:eastAsia="tr-TR" w:bidi="ar-SA"/>
        </w:rPr>
      </w:pPr>
      <w:r w:rsidRPr="00113B38">
        <w:rPr>
          <w:bCs/>
          <w:sz w:val="24"/>
          <w:szCs w:val="24"/>
          <w:lang w:val="tr-TR" w:eastAsia="tr-TR" w:bidi="ar-SA"/>
        </w:rPr>
        <w:t xml:space="preserve">Kuzey Kıbrıs Türk Cumhuriyeti Cumhuriyet Meclisi’nin </w:t>
      </w:r>
      <w:r>
        <w:rPr>
          <w:bCs/>
          <w:sz w:val="24"/>
          <w:szCs w:val="24"/>
          <w:lang w:val="tr-TR" w:eastAsia="tr-TR" w:bidi="ar-SA"/>
        </w:rPr>
        <w:t>2</w:t>
      </w:r>
      <w:r w:rsidRPr="00113B38">
        <w:rPr>
          <w:bCs/>
          <w:sz w:val="24"/>
          <w:szCs w:val="24"/>
          <w:lang w:val="tr-TR" w:eastAsia="tr-TR" w:bidi="ar-SA"/>
        </w:rPr>
        <w:t xml:space="preserve">0 Aralık 2018 tarihli </w:t>
      </w:r>
      <w:r>
        <w:rPr>
          <w:bCs/>
          <w:sz w:val="24"/>
          <w:szCs w:val="24"/>
          <w:lang w:val="tr-TR" w:eastAsia="tr-TR" w:bidi="ar-SA"/>
        </w:rPr>
        <w:t>Yirmiyedinci</w:t>
      </w:r>
      <w:r w:rsidRPr="00113B38">
        <w:rPr>
          <w:bCs/>
          <w:sz w:val="24"/>
          <w:szCs w:val="24"/>
          <w:lang w:val="tr-TR" w:eastAsia="tr-TR" w:bidi="ar-SA"/>
        </w:rPr>
        <w:t xml:space="preserve"> Birleşiminde Oyçokluğuyla</w:t>
      </w:r>
      <w:r>
        <w:rPr>
          <w:bCs/>
          <w:sz w:val="24"/>
          <w:szCs w:val="24"/>
          <w:lang w:val="tr-TR" w:eastAsia="tr-TR" w:bidi="ar-SA"/>
        </w:rPr>
        <w:t xml:space="preserve"> (27 Oyla)</w:t>
      </w:r>
      <w:r w:rsidRPr="00113B38">
        <w:rPr>
          <w:bCs/>
          <w:sz w:val="24"/>
          <w:szCs w:val="24"/>
          <w:lang w:val="tr-TR" w:eastAsia="tr-TR" w:bidi="ar-SA"/>
        </w:rPr>
        <w:t xml:space="preserve"> kabul olunan “</w:t>
      </w:r>
      <w:r>
        <w:rPr>
          <w:rFonts w:eastAsia="Calibri"/>
          <w:sz w:val="24"/>
          <w:szCs w:val="24"/>
          <w:lang w:val="tr-TR" w:bidi="ar-SA"/>
        </w:rPr>
        <w:t xml:space="preserve">2019 Mali Yılı Bütçe </w:t>
      </w:r>
      <w:r w:rsidRPr="00113B38">
        <w:rPr>
          <w:rFonts w:eastAsia="Calibri"/>
          <w:sz w:val="24"/>
          <w:szCs w:val="24"/>
          <w:lang w:val="tr-TR" w:bidi="ar-SA"/>
        </w:rPr>
        <w:t>Yasası</w:t>
      </w:r>
      <w:r w:rsidRPr="00113B38">
        <w:rPr>
          <w:bCs/>
          <w:sz w:val="24"/>
          <w:szCs w:val="24"/>
          <w:lang w:val="tr-TR" w:eastAsia="tr-TR" w:bidi="ar-SA"/>
        </w:rPr>
        <w:t>” Anayasanın 9</w:t>
      </w:r>
      <w:r>
        <w:rPr>
          <w:bCs/>
          <w:sz w:val="24"/>
          <w:szCs w:val="24"/>
          <w:lang w:val="tr-TR" w:eastAsia="tr-TR" w:bidi="ar-SA"/>
        </w:rPr>
        <w:t>2’nci</w:t>
      </w:r>
      <w:r w:rsidRPr="00113B38">
        <w:rPr>
          <w:bCs/>
          <w:sz w:val="24"/>
          <w:szCs w:val="24"/>
          <w:lang w:val="tr-TR" w:eastAsia="tr-TR" w:bidi="ar-SA"/>
        </w:rPr>
        <w:t xml:space="preserve"> maddesinin (</w:t>
      </w:r>
      <w:r>
        <w:rPr>
          <w:bCs/>
          <w:sz w:val="24"/>
          <w:szCs w:val="24"/>
          <w:lang w:val="tr-TR" w:eastAsia="tr-TR" w:bidi="ar-SA"/>
        </w:rPr>
        <w:t>7)’</w:t>
      </w:r>
      <w:r w:rsidRPr="00113B38">
        <w:rPr>
          <w:bCs/>
          <w:sz w:val="24"/>
          <w:szCs w:val="24"/>
          <w:lang w:val="tr-TR" w:eastAsia="tr-TR" w:bidi="ar-SA"/>
        </w:rPr>
        <w:t>nci fıkrası gereğince Kuzey Kıbrıs Türk Cumhuriyeti Cumhurbaşkanı tarafından Resmi Gazete’de yayımlanmak suretiyle ilan olunur.</w:t>
      </w:r>
    </w:p>
    <w:p w:rsidR="00113B38" w:rsidRPr="00113B38" w:rsidRDefault="00113B38" w:rsidP="00113B38">
      <w:pPr>
        <w:widowControl/>
        <w:autoSpaceDE/>
        <w:autoSpaceDN/>
        <w:jc w:val="both"/>
        <w:rPr>
          <w:bCs/>
          <w:sz w:val="24"/>
          <w:szCs w:val="24"/>
          <w:lang w:val="tr-TR" w:eastAsia="tr-TR" w:bidi="ar-SA"/>
        </w:rPr>
      </w:pPr>
    </w:p>
    <w:p w:rsidR="00113B38" w:rsidRPr="00113B38" w:rsidRDefault="00113B38" w:rsidP="00113B38">
      <w:pPr>
        <w:widowControl/>
        <w:autoSpaceDE/>
        <w:autoSpaceDN/>
        <w:jc w:val="center"/>
        <w:rPr>
          <w:b/>
          <w:sz w:val="24"/>
          <w:szCs w:val="24"/>
          <w:lang w:val="tr-TR" w:eastAsia="tr-TR" w:bidi="ar-SA"/>
        </w:rPr>
      </w:pPr>
      <w:bookmarkStart w:id="0" w:name="_GoBack"/>
      <w:bookmarkEnd w:id="0"/>
      <w:r w:rsidRPr="00113B38">
        <w:rPr>
          <w:b/>
          <w:sz w:val="24"/>
          <w:szCs w:val="24"/>
          <w:lang w:val="tr-TR" w:eastAsia="tr-TR" w:bidi="ar-SA"/>
        </w:rPr>
        <w:t>Sayı: 60/2018</w:t>
      </w:r>
    </w:p>
    <w:tbl>
      <w:tblPr>
        <w:tblpPr w:leftFromText="141" w:rightFromText="141" w:vertAnchor="page" w:horzAnchor="margin" w:tblpY="2866"/>
        <w:tblW w:w="0" w:type="auto"/>
        <w:tblLayout w:type="fixed"/>
        <w:tblCellMar>
          <w:left w:w="0" w:type="dxa"/>
          <w:right w:w="0" w:type="dxa"/>
        </w:tblCellMar>
        <w:tblLook w:val="01E0" w:firstRow="1" w:lastRow="1" w:firstColumn="1" w:lastColumn="1" w:noHBand="0" w:noVBand="0"/>
      </w:tblPr>
      <w:tblGrid>
        <w:gridCol w:w="2710"/>
        <w:gridCol w:w="3443"/>
        <w:gridCol w:w="8184"/>
      </w:tblGrid>
      <w:tr w:rsidR="00113B38" w:rsidRPr="003D676D" w:rsidTr="00113B38">
        <w:trPr>
          <w:trHeight w:val="284"/>
        </w:trPr>
        <w:tc>
          <w:tcPr>
            <w:tcW w:w="14337" w:type="dxa"/>
            <w:gridSpan w:val="3"/>
          </w:tcPr>
          <w:p w:rsidR="00113B38" w:rsidRPr="003D676D" w:rsidRDefault="00113B38" w:rsidP="00A9086A">
            <w:pPr>
              <w:pStyle w:val="TableParagraph"/>
              <w:ind w:left="4862" w:right="4867"/>
              <w:jc w:val="center"/>
              <w:rPr>
                <w:b/>
                <w:sz w:val="24"/>
              </w:rPr>
            </w:pPr>
            <w:r w:rsidRPr="003D676D">
              <w:rPr>
                <w:b/>
                <w:sz w:val="24"/>
              </w:rPr>
              <w:t>2019 MALİ YILI BÜTÇE YASASI</w:t>
            </w:r>
          </w:p>
        </w:tc>
      </w:tr>
      <w:tr w:rsidR="00113B38" w:rsidRPr="003D676D" w:rsidTr="00113B38">
        <w:trPr>
          <w:trHeight w:val="284"/>
        </w:trPr>
        <w:tc>
          <w:tcPr>
            <w:tcW w:w="14337" w:type="dxa"/>
            <w:gridSpan w:val="3"/>
          </w:tcPr>
          <w:p w:rsidR="00113B38" w:rsidRPr="003D676D" w:rsidRDefault="00113B38" w:rsidP="00113B38">
            <w:pPr>
              <w:pStyle w:val="TableParagraph"/>
              <w:ind w:left="4862" w:right="4867"/>
              <w:jc w:val="both"/>
              <w:rPr>
                <w:b/>
                <w:sz w:val="24"/>
              </w:rPr>
            </w:pPr>
          </w:p>
        </w:tc>
      </w:tr>
      <w:tr w:rsidR="00113B38" w:rsidRPr="003D676D" w:rsidTr="00113B38">
        <w:trPr>
          <w:trHeight w:val="291"/>
        </w:trPr>
        <w:tc>
          <w:tcPr>
            <w:tcW w:w="14337" w:type="dxa"/>
            <w:gridSpan w:val="3"/>
          </w:tcPr>
          <w:p w:rsidR="00113B38" w:rsidRPr="003D676D" w:rsidRDefault="00113B38" w:rsidP="00113B38">
            <w:pPr>
              <w:pStyle w:val="TableParagraph"/>
              <w:ind w:left="3094"/>
              <w:jc w:val="both"/>
            </w:pPr>
            <w:r w:rsidRPr="003D676D">
              <w:t>Kuzey Kıbrıs Türk Cumhuriyeti Cumhuriyet Meclisi aşağıdaki Yasayı yapar:</w:t>
            </w:r>
          </w:p>
        </w:tc>
      </w:tr>
      <w:tr w:rsidR="00113B38" w:rsidRPr="003D676D" w:rsidTr="00113B38">
        <w:trPr>
          <w:trHeight w:val="291"/>
        </w:trPr>
        <w:tc>
          <w:tcPr>
            <w:tcW w:w="14337" w:type="dxa"/>
            <w:gridSpan w:val="3"/>
          </w:tcPr>
          <w:p w:rsidR="00113B38" w:rsidRPr="003D676D" w:rsidRDefault="00113B38" w:rsidP="00113B38">
            <w:pPr>
              <w:pStyle w:val="TableParagraph"/>
              <w:ind w:left="3094"/>
              <w:jc w:val="both"/>
            </w:pPr>
          </w:p>
        </w:tc>
      </w:tr>
      <w:tr w:rsidR="00113B38" w:rsidRPr="003D676D" w:rsidTr="00113B38">
        <w:trPr>
          <w:trHeight w:val="270"/>
        </w:trPr>
        <w:tc>
          <w:tcPr>
            <w:tcW w:w="2710" w:type="dxa"/>
          </w:tcPr>
          <w:p w:rsidR="00113B38" w:rsidRPr="003D676D" w:rsidRDefault="00113B38" w:rsidP="00113B38">
            <w:pPr>
              <w:pStyle w:val="TableParagraph"/>
              <w:ind w:left="200"/>
            </w:pPr>
            <w:r w:rsidRPr="003D676D">
              <w:t>Kısa İsim</w:t>
            </w:r>
          </w:p>
        </w:tc>
        <w:tc>
          <w:tcPr>
            <w:tcW w:w="11627" w:type="dxa"/>
            <w:gridSpan w:val="2"/>
          </w:tcPr>
          <w:p w:rsidR="00113B38" w:rsidRPr="003D676D" w:rsidRDefault="00113B38" w:rsidP="00113B38">
            <w:pPr>
              <w:pStyle w:val="TableParagraph"/>
              <w:ind w:left="108"/>
              <w:jc w:val="both"/>
            </w:pPr>
            <w:r w:rsidRPr="003D676D">
              <w:t>1. Bu Yasa, 2019 Mali Yılı Bütçe Yasası olarak isimlendirilir.</w:t>
            </w:r>
          </w:p>
        </w:tc>
      </w:tr>
      <w:tr w:rsidR="00113B38" w:rsidRPr="003D676D" w:rsidTr="00113B38">
        <w:trPr>
          <w:trHeight w:val="270"/>
        </w:trPr>
        <w:tc>
          <w:tcPr>
            <w:tcW w:w="2710" w:type="dxa"/>
          </w:tcPr>
          <w:p w:rsidR="00113B38" w:rsidRPr="003D676D" w:rsidRDefault="00113B38" w:rsidP="00113B38">
            <w:pPr>
              <w:pStyle w:val="TableParagraph"/>
              <w:ind w:left="200"/>
              <w:jc w:val="both"/>
            </w:pPr>
          </w:p>
        </w:tc>
        <w:tc>
          <w:tcPr>
            <w:tcW w:w="11627" w:type="dxa"/>
            <w:gridSpan w:val="2"/>
          </w:tcPr>
          <w:p w:rsidR="00113B38" w:rsidRPr="003D676D" w:rsidRDefault="00113B38" w:rsidP="00113B38">
            <w:pPr>
              <w:pStyle w:val="TableParagraph"/>
              <w:ind w:left="108"/>
              <w:jc w:val="both"/>
            </w:pPr>
          </w:p>
        </w:tc>
      </w:tr>
      <w:tr w:rsidR="00113B38" w:rsidRPr="003D676D" w:rsidTr="00113B38">
        <w:trPr>
          <w:trHeight w:val="1284"/>
        </w:trPr>
        <w:tc>
          <w:tcPr>
            <w:tcW w:w="2710" w:type="dxa"/>
          </w:tcPr>
          <w:p w:rsidR="00113B38" w:rsidRPr="003D676D" w:rsidRDefault="00113B38" w:rsidP="00113B38">
            <w:pPr>
              <w:pStyle w:val="TableParagraph"/>
              <w:ind w:left="200" w:right="247"/>
            </w:pPr>
            <w:r w:rsidRPr="003D676D">
              <w:t>31 Aralık 2019 Tarihinde Sona Erecek Mali Yıl Hizmetleri İçin Tahsis Edilen Ödenek</w:t>
            </w:r>
          </w:p>
          <w:p w:rsidR="00113B38" w:rsidRPr="003D676D" w:rsidRDefault="00113B38" w:rsidP="00113B38">
            <w:pPr>
              <w:pStyle w:val="TableParagraph"/>
              <w:ind w:left="200"/>
            </w:pPr>
            <w:r w:rsidRPr="003D676D">
              <w:t>“A”, “C” ve “D” Cetvelleri</w:t>
            </w:r>
          </w:p>
        </w:tc>
        <w:tc>
          <w:tcPr>
            <w:tcW w:w="11627" w:type="dxa"/>
            <w:gridSpan w:val="2"/>
          </w:tcPr>
          <w:p w:rsidR="00113B38" w:rsidRPr="003D676D" w:rsidRDefault="00113B38" w:rsidP="00113B38">
            <w:pPr>
              <w:pStyle w:val="TableParagraph"/>
              <w:ind w:left="108" w:right="199"/>
              <w:jc w:val="both"/>
            </w:pPr>
            <w:r w:rsidRPr="003D676D">
              <w:t>2. Kuzey Kıbrıs Türk Cumhuriyetinin, 1 Ocak 2019 tarihinde başlayan ve 31 Aralık 2019 tarihinde sona erecek olan 2019 Mali Yılında, bu Yasaya Ek’li “A”, “C” ve “D” (Ödenek, Kadro ve Araç) Cetvellerinde saptanan hizmet ve faaliyetlerin yürütülmesi için 7,731,500,000.-TL (Yedi Milyar, Yedi Yüz Otuz Bir Milyon, Beş Yüz Bin Türk Lirası) ödenek tahsis edilir.</w:t>
            </w:r>
          </w:p>
        </w:tc>
      </w:tr>
      <w:tr w:rsidR="00113B38" w:rsidRPr="003D676D" w:rsidTr="00113B38">
        <w:trPr>
          <w:trHeight w:val="140"/>
        </w:trPr>
        <w:tc>
          <w:tcPr>
            <w:tcW w:w="2710" w:type="dxa"/>
          </w:tcPr>
          <w:p w:rsidR="00113B38" w:rsidRPr="003D676D" w:rsidRDefault="00113B38" w:rsidP="00113B38">
            <w:pPr>
              <w:pStyle w:val="TableParagraph"/>
              <w:ind w:left="200" w:right="247"/>
              <w:jc w:val="both"/>
            </w:pPr>
          </w:p>
        </w:tc>
        <w:tc>
          <w:tcPr>
            <w:tcW w:w="11627" w:type="dxa"/>
            <w:gridSpan w:val="2"/>
          </w:tcPr>
          <w:p w:rsidR="00113B38" w:rsidRPr="003D676D" w:rsidRDefault="00113B38" w:rsidP="00113B38">
            <w:pPr>
              <w:pStyle w:val="TableParagraph"/>
              <w:ind w:left="108" w:right="199"/>
              <w:jc w:val="both"/>
            </w:pPr>
          </w:p>
        </w:tc>
      </w:tr>
      <w:tr w:rsidR="00113B38" w:rsidRPr="003D676D" w:rsidTr="00113B38">
        <w:trPr>
          <w:trHeight w:val="2453"/>
        </w:trPr>
        <w:tc>
          <w:tcPr>
            <w:tcW w:w="2710" w:type="dxa"/>
          </w:tcPr>
          <w:p w:rsidR="00113B38" w:rsidRPr="003D676D" w:rsidRDefault="00113B38" w:rsidP="00113B38">
            <w:pPr>
              <w:pStyle w:val="TableParagraph"/>
              <w:ind w:left="200" w:right="614"/>
            </w:pPr>
            <w:r w:rsidRPr="003D676D">
              <w:t>Bütçenin Finansmanı “B” Cetveli</w:t>
            </w:r>
          </w:p>
        </w:tc>
        <w:tc>
          <w:tcPr>
            <w:tcW w:w="11627" w:type="dxa"/>
            <w:gridSpan w:val="2"/>
          </w:tcPr>
          <w:p w:rsidR="00113B38" w:rsidRPr="003D676D" w:rsidRDefault="00113B38" w:rsidP="00113B38">
            <w:pPr>
              <w:pStyle w:val="TableParagraph"/>
              <w:ind w:left="108" w:right="198"/>
              <w:jc w:val="both"/>
            </w:pPr>
            <w:r w:rsidRPr="003D676D">
              <w:t>3. Bütçenin finansmanı için bu Yasaya Ek’li “B” (Gelirler) Cetvelinde saptanan kaynaklardan 4,512,116,000.-TL (Dört Milyar, Beş Yüz On İki Milyon, Yüz On Altı Bin Türk Lirası) Mahalli Gelir, 770,000,000.-TL (Yedi Yüz Yetmiş Milyon Türk Lirası) Fiyat İstikrar Fonu Geliri, 112,000,000.-TL (Yüz On İki Milyon Türk Lirası) Diğer Fon Gelirleri, 6,834,000.-TL (Altı Milyon, Sekiz Yüz Otuz Dört Bin Türk Lirası) Döner Sermaye Geliri, 209,050,000.-TL (İki Yüz Dokuz Milyon, Elli Bin Türk Lirası) Özel Gelirler, 245,000,000.-TL (İki Yüz Kırk Beş Milyon Türk Lirası) Kuzey Kıbrıs Türk Cumhuriyeti Yatırımları ve 450,000,000.-TL (Dört Yüz Elli Milyon Türk Lirası) Güvenlik Kuvvetleri ile Sivil Savunma Teşkilatı Giderleri dahil olmak üzere toplam 695,000,000.-TL (Altı Yüz Doksan Beş Milyon Türk Lirası) T.C. Yardımı ve 575,000,000.-TL (Beş Yüz Yetmiş Beş Milyon Türk Lirası) T.C. Kredisi ve 851,500,000.-TL (Sekiz Yüz Elli Bir Milyon, Beş Yüz Bin Türk Lirası) İç Kaynaklar ile birlikte toplam 7,731,500,000.-TL (Yedi Milyar, Yedi Yüz Otuz Bir Milyon, Beş Yüz Bin Türk Lirası) gelir öngörülür. Gelir ve Gider Farkı yıl içinde alınacak mali önlemlerle karşılanacaktır.</w:t>
            </w:r>
          </w:p>
        </w:tc>
      </w:tr>
      <w:tr w:rsidR="00113B38" w:rsidRPr="003D676D" w:rsidTr="00113B38">
        <w:trPr>
          <w:trHeight w:val="194"/>
        </w:trPr>
        <w:tc>
          <w:tcPr>
            <w:tcW w:w="2710" w:type="dxa"/>
          </w:tcPr>
          <w:p w:rsidR="00113B38" w:rsidRPr="003D676D" w:rsidRDefault="00113B38" w:rsidP="00113B38">
            <w:pPr>
              <w:pStyle w:val="TableParagraph"/>
              <w:ind w:left="200" w:right="614"/>
              <w:jc w:val="both"/>
            </w:pPr>
          </w:p>
        </w:tc>
        <w:tc>
          <w:tcPr>
            <w:tcW w:w="11627" w:type="dxa"/>
            <w:gridSpan w:val="2"/>
          </w:tcPr>
          <w:p w:rsidR="00113B38" w:rsidRPr="003D676D" w:rsidRDefault="00113B38" w:rsidP="00113B38">
            <w:pPr>
              <w:pStyle w:val="TableParagraph"/>
              <w:ind w:left="108" w:right="198"/>
              <w:jc w:val="both"/>
            </w:pPr>
          </w:p>
        </w:tc>
      </w:tr>
      <w:tr w:rsidR="00113B38" w:rsidRPr="003D676D" w:rsidTr="00113B38">
        <w:trPr>
          <w:trHeight w:val="226"/>
        </w:trPr>
        <w:tc>
          <w:tcPr>
            <w:tcW w:w="2710" w:type="dxa"/>
          </w:tcPr>
          <w:p w:rsidR="00113B38" w:rsidRPr="003D676D" w:rsidRDefault="00113B38" w:rsidP="00113B38">
            <w:pPr>
              <w:pStyle w:val="TableParagraph"/>
              <w:ind w:left="200"/>
            </w:pPr>
            <w:r w:rsidRPr="003D676D">
              <w:t>Cetveller</w:t>
            </w:r>
          </w:p>
        </w:tc>
        <w:tc>
          <w:tcPr>
            <w:tcW w:w="11627" w:type="dxa"/>
            <w:gridSpan w:val="2"/>
          </w:tcPr>
          <w:p w:rsidR="00113B38" w:rsidRPr="003D676D" w:rsidRDefault="00113B38" w:rsidP="00113B38">
            <w:pPr>
              <w:pStyle w:val="TableParagraph"/>
              <w:ind w:left="108"/>
              <w:jc w:val="both"/>
            </w:pPr>
            <w:r w:rsidRPr="003D676D">
              <w:t>4. 2019 Mali Yılı Bütçe Yasası aşağıdaki Cetvellerden oluşur:</w:t>
            </w:r>
          </w:p>
        </w:tc>
      </w:tr>
      <w:tr w:rsidR="00113B38" w:rsidRPr="003D676D" w:rsidTr="00113B38">
        <w:trPr>
          <w:trHeight w:val="253"/>
        </w:trPr>
        <w:tc>
          <w:tcPr>
            <w:tcW w:w="2710" w:type="dxa"/>
          </w:tcPr>
          <w:p w:rsidR="00113B38" w:rsidRPr="003D676D" w:rsidRDefault="00113B38" w:rsidP="00113B38">
            <w:pPr>
              <w:pStyle w:val="TableParagraph"/>
              <w:jc w:val="both"/>
              <w:rPr>
                <w:sz w:val="18"/>
              </w:rPr>
            </w:pPr>
          </w:p>
        </w:tc>
        <w:tc>
          <w:tcPr>
            <w:tcW w:w="3443" w:type="dxa"/>
          </w:tcPr>
          <w:p w:rsidR="00113B38" w:rsidRPr="003D676D" w:rsidRDefault="00113B38" w:rsidP="00113B38">
            <w:pPr>
              <w:pStyle w:val="TableParagraph"/>
              <w:ind w:left="108"/>
              <w:jc w:val="both"/>
            </w:pPr>
            <w:r w:rsidRPr="003D676D">
              <w:t xml:space="preserve">“A” </w:t>
            </w:r>
            <w:proofErr w:type="gramStart"/>
            <w:r w:rsidRPr="003D676D">
              <w:t>Cetveli ....................................</w:t>
            </w:r>
            <w:proofErr w:type="gramEnd"/>
          </w:p>
        </w:tc>
        <w:tc>
          <w:tcPr>
            <w:tcW w:w="8184" w:type="dxa"/>
          </w:tcPr>
          <w:p w:rsidR="00113B38" w:rsidRPr="003D676D" w:rsidRDefault="00113B38" w:rsidP="00113B38">
            <w:pPr>
              <w:pStyle w:val="TableParagraph"/>
              <w:ind w:left="251"/>
              <w:jc w:val="both"/>
            </w:pPr>
            <w:r w:rsidRPr="003D676D">
              <w:t>Ödenekler</w:t>
            </w:r>
          </w:p>
        </w:tc>
      </w:tr>
      <w:tr w:rsidR="00113B38" w:rsidRPr="003D676D" w:rsidTr="00113B38">
        <w:trPr>
          <w:trHeight w:val="251"/>
        </w:trPr>
        <w:tc>
          <w:tcPr>
            <w:tcW w:w="2710" w:type="dxa"/>
          </w:tcPr>
          <w:p w:rsidR="00113B38" w:rsidRPr="003D676D" w:rsidRDefault="00113B38" w:rsidP="00113B38">
            <w:pPr>
              <w:pStyle w:val="TableParagraph"/>
              <w:jc w:val="both"/>
              <w:rPr>
                <w:sz w:val="18"/>
              </w:rPr>
            </w:pPr>
          </w:p>
        </w:tc>
        <w:tc>
          <w:tcPr>
            <w:tcW w:w="3443" w:type="dxa"/>
          </w:tcPr>
          <w:p w:rsidR="00113B38" w:rsidRPr="003D676D" w:rsidRDefault="00113B38" w:rsidP="00113B38">
            <w:pPr>
              <w:pStyle w:val="TableParagraph"/>
              <w:ind w:left="108"/>
              <w:jc w:val="both"/>
            </w:pPr>
            <w:r w:rsidRPr="003D676D">
              <w:t xml:space="preserve">“B” </w:t>
            </w:r>
            <w:proofErr w:type="gramStart"/>
            <w:r w:rsidRPr="003D676D">
              <w:t>Cetveli ....................................</w:t>
            </w:r>
            <w:proofErr w:type="gramEnd"/>
          </w:p>
        </w:tc>
        <w:tc>
          <w:tcPr>
            <w:tcW w:w="8184" w:type="dxa"/>
          </w:tcPr>
          <w:p w:rsidR="00113B38" w:rsidRPr="003D676D" w:rsidRDefault="00113B38" w:rsidP="00113B38">
            <w:pPr>
              <w:pStyle w:val="TableParagraph"/>
              <w:ind w:left="251"/>
              <w:jc w:val="both"/>
            </w:pPr>
            <w:r w:rsidRPr="003D676D">
              <w:t>Gelirler</w:t>
            </w:r>
          </w:p>
        </w:tc>
      </w:tr>
      <w:tr w:rsidR="00113B38" w:rsidRPr="003D676D" w:rsidTr="00113B38">
        <w:trPr>
          <w:trHeight w:val="253"/>
        </w:trPr>
        <w:tc>
          <w:tcPr>
            <w:tcW w:w="2710" w:type="dxa"/>
          </w:tcPr>
          <w:p w:rsidR="00113B38" w:rsidRPr="003D676D" w:rsidRDefault="00113B38" w:rsidP="00113B38">
            <w:pPr>
              <w:pStyle w:val="TableParagraph"/>
              <w:jc w:val="both"/>
              <w:rPr>
                <w:sz w:val="18"/>
              </w:rPr>
            </w:pPr>
          </w:p>
        </w:tc>
        <w:tc>
          <w:tcPr>
            <w:tcW w:w="3443" w:type="dxa"/>
          </w:tcPr>
          <w:p w:rsidR="00113B38" w:rsidRPr="003D676D" w:rsidRDefault="00113B38" w:rsidP="00113B38">
            <w:pPr>
              <w:pStyle w:val="TableParagraph"/>
              <w:ind w:left="108"/>
              <w:jc w:val="both"/>
            </w:pPr>
            <w:r w:rsidRPr="003D676D">
              <w:t xml:space="preserve">“C” </w:t>
            </w:r>
            <w:proofErr w:type="gramStart"/>
            <w:r w:rsidRPr="003D676D">
              <w:t>Cetveli ....................................</w:t>
            </w:r>
            <w:proofErr w:type="gramEnd"/>
          </w:p>
        </w:tc>
        <w:tc>
          <w:tcPr>
            <w:tcW w:w="8184" w:type="dxa"/>
          </w:tcPr>
          <w:p w:rsidR="00113B38" w:rsidRPr="003D676D" w:rsidRDefault="00113B38" w:rsidP="00113B38">
            <w:pPr>
              <w:pStyle w:val="TableParagraph"/>
              <w:ind w:left="251"/>
              <w:jc w:val="both"/>
            </w:pPr>
            <w:r w:rsidRPr="003D676D">
              <w:t>Kadrolar</w:t>
            </w:r>
          </w:p>
        </w:tc>
      </w:tr>
      <w:tr w:rsidR="00113B38" w:rsidRPr="003D676D" w:rsidTr="00113B38">
        <w:trPr>
          <w:trHeight w:val="253"/>
        </w:trPr>
        <w:tc>
          <w:tcPr>
            <w:tcW w:w="2710" w:type="dxa"/>
          </w:tcPr>
          <w:p w:rsidR="00113B38" w:rsidRPr="003D676D" w:rsidRDefault="00113B38" w:rsidP="00113B38">
            <w:pPr>
              <w:pStyle w:val="TableParagraph"/>
              <w:jc w:val="both"/>
              <w:rPr>
                <w:sz w:val="18"/>
              </w:rPr>
            </w:pPr>
          </w:p>
        </w:tc>
        <w:tc>
          <w:tcPr>
            <w:tcW w:w="3443" w:type="dxa"/>
          </w:tcPr>
          <w:p w:rsidR="00113B38" w:rsidRPr="003D676D" w:rsidRDefault="00113B38" w:rsidP="00113B38">
            <w:pPr>
              <w:pStyle w:val="TableParagraph"/>
              <w:ind w:left="108"/>
              <w:jc w:val="both"/>
            </w:pPr>
            <w:r w:rsidRPr="003D676D">
              <w:t xml:space="preserve">“D” </w:t>
            </w:r>
            <w:proofErr w:type="gramStart"/>
            <w:r w:rsidRPr="003D676D">
              <w:t>Cetveli ....................................</w:t>
            </w:r>
            <w:proofErr w:type="gramEnd"/>
          </w:p>
        </w:tc>
        <w:tc>
          <w:tcPr>
            <w:tcW w:w="8184" w:type="dxa"/>
          </w:tcPr>
          <w:p w:rsidR="00113B38" w:rsidRPr="003D676D" w:rsidRDefault="00113B38" w:rsidP="00113B38">
            <w:pPr>
              <w:pStyle w:val="TableParagraph"/>
              <w:ind w:left="251"/>
              <w:jc w:val="both"/>
            </w:pPr>
            <w:r w:rsidRPr="003D676D">
              <w:t>Araçlar</w:t>
            </w:r>
          </w:p>
        </w:tc>
      </w:tr>
      <w:tr w:rsidR="00113B38" w:rsidRPr="003D676D" w:rsidTr="00113B38">
        <w:trPr>
          <w:trHeight w:val="253"/>
        </w:trPr>
        <w:tc>
          <w:tcPr>
            <w:tcW w:w="2710" w:type="dxa"/>
          </w:tcPr>
          <w:p w:rsidR="00113B38" w:rsidRPr="003D676D" w:rsidRDefault="00113B38" w:rsidP="00113B38">
            <w:pPr>
              <w:pStyle w:val="TableParagraph"/>
              <w:jc w:val="both"/>
              <w:rPr>
                <w:sz w:val="18"/>
              </w:rPr>
            </w:pPr>
          </w:p>
        </w:tc>
        <w:tc>
          <w:tcPr>
            <w:tcW w:w="3443" w:type="dxa"/>
          </w:tcPr>
          <w:p w:rsidR="00113B38" w:rsidRPr="003D676D" w:rsidRDefault="00113B38" w:rsidP="00113B38">
            <w:pPr>
              <w:pStyle w:val="TableParagraph"/>
              <w:ind w:left="108"/>
              <w:jc w:val="both"/>
            </w:pPr>
            <w:r w:rsidRPr="003D676D">
              <w:t xml:space="preserve">“E” </w:t>
            </w:r>
            <w:proofErr w:type="gramStart"/>
            <w:r w:rsidRPr="003D676D">
              <w:t>Cetveli ....................................</w:t>
            </w:r>
            <w:proofErr w:type="gramEnd"/>
          </w:p>
        </w:tc>
        <w:tc>
          <w:tcPr>
            <w:tcW w:w="8184" w:type="dxa"/>
          </w:tcPr>
          <w:p w:rsidR="00113B38" w:rsidRPr="003D676D" w:rsidRDefault="00113B38" w:rsidP="00113B38">
            <w:pPr>
              <w:pStyle w:val="TableParagraph"/>
              <w:ind w:left="251"/>
              <w:jc w:val="both"/>
            </w:pPr>
            <w:r w:rsidRPr="003D676D">
              <w:t>Barem Tabloları (I-II)</w:t>
            </w:r>
          </w:p>
        </w:tc>
      </w:tr>
      <w:tr w:rsidR="00113B38" w:rsidRPr="003D676D" w:rsidTr="00113B38">
        <w:trPr>
          <w:trHeight w:val="253"/>
        </w:trPr>
        <w:tc>
          <w:tcPr>
            <w:tcW w:w="2710" w:type="dxa"/>
          </w:tcPr>
          <w:p w:rsidR="00113B38" w:rsidRPr="003D676D" w:rsidRDefault="00113B38" w:rsidP="00113B38">
            <w:pPr>
              <w:pStyle w:val="TableParagraph"/>
              <w:jc w:val="both"/>
              <w:rPr>
                <w:sz w:val="18"/>
              </w:rPr>
            </w:pPr>
          </w:p>
        </w:tc>
        <w:tc>
          <w:tcPr>
            <w:tcW w:w="3443" w:type="dxa"/>
          </w:tcPr>
          <w:p w:rsidR="00113B38" w:rsidRPr="003D676D" w:rsidRDefault="00113B38" w:rsidP="00113B38">
            <w:pPr>
              <w:pStyle w:val="TableParagraph"/>
              <w:ind w:left="108"/>
              <w:jc w:val="both"/>
            </w:pPr>
            <w:r w:rsidRPr="003D676D">
              <w:t xml:space="preserve">“F” </w:t>
            </w:r>
            <w:proofErr w:type="gramStart"/>
            <w:r w:rsidRPr="003D676D">
              <w:t>Cetveli ....................................</w:t>
            </w:r>
            <w:proofErr w:type="gramEnd"/>
          </w:p>
        </w:tc>
        <w:tc>
          <w:tcPr>
            <w:tcW w:w="8184" w:type="dxa"/>
          </w:tcPr>
          <w:p w:rsidR="00113B38" w:rsidRPr="003D676D" w:rsidRDefault="00113B38" w:rsidP="00113B38">
            <w:pPr>
              <w:pStyle w:val="TableParagraph"/>
              <w:ind w:left="251"/>
              <w:jc w:val="both"/>
            </w:pPr>
            <w:r w:rsidRPr="003D676D">
              <w:t>Harcamaya İlişkin Formüller (Eko Rehber)</w:t>
            </w:r>
          </w:p>
        </w:tc>
      </w:tr>
      <w:tr w:rsidR="00113B38" w:rsidRPr="003D676D" w:rsidTr="00113B38">
        <w:trPr>
          <w:trHeight w:val="251"/>
        </w:trPr>
        <w:tc>
          <w:tcPr>
            <w:tcW w:w="2710" w:type="dxa"/>
          </w:tcPr>
          <w:p w:rsidR="00113B38" w:rsidRPr="003D676D" w:rsidRDefault="00113B38" w:rsidP="00113B38">
            <w:pPr>
              <w:pStyle w:val="TableParagraph"/>
              <w:jc w:val="both"/>
              <w:rPr>
                <w:sz w:val="18"/>
              </w:rPr>
            </w:pPr>
          </w:p>
        </w:tc>
        <w:tc>
          <w:tcPr>
            <w:tcW w:w="3443" w:type="dxa"/>
          </w:tcPr>
          <w:p w:rsidR="00113B38" w:rsidRPr="003D676D" w:rsidRDefault="00113B38" w:rsidP="00113B38">
            <w:pPr>
              <w:pStyle w:val="TableParagraph"/>
              <w:ind w:left="108"/>
              <w:jc w:val="both"/>
            </w:pPr>
            <w:r w:rsidRPr="003D676D">
              <w:t xml:space="preserve">“G” </w:t>
            </w:r>
            <w:proofErr w:type="gramStart"/>
            <w:r w:rsidRPr="003D676D">
              <w:t>Cetveli ....................................</w:t>
            </w:r>
            <w:proofErr w:type="gramEnd"/>
          </w:p>
        </w:tc>
        <w:tc>
          <w:tcPr>
            <w:tcW w:w="8184" w:type="dxa"/>
          </w:tcPr>
          <w:p w:rsidR="00113B38" w:rsidRPr="003D676D" w:rsidRDefault="00113B38" w:rsidP="00113B38">
            <w:pPr>
              <w:pStyle w:val="TableParagraph"/>
              <w:ind w:left="251"/>
              <w:jc w:val="both"/>
            </w:pPr>
            <w:r w:rsidRPr="003D676D">
              <w:t>İta Amirlikleri</w:t>
            </w:r>
          </w:p>
        </w:tc>
      </w:tr>
      <w:tr w:rsidR="00113B38" w:rsidRPr="003D676D" w:rsidTr="00113B38">
        <w:trPr>
          <w:trHeight w:val="253"/>
        </w:trPr>
        <w:tc>
          <w:tcPr>
            <w:tcW w:w="2710" w:type="dxa"/>
          </w:tcPr>
          <w:p w:rsidR="00113B38" w:rsidRPr="003D676D" w:rsidRDefault="00113B38" w:rsidP="00113B38">
            <w:pPr>
              <w:pStyle w:val="TableParagraph"/>
              <w:jc w:val="both"/>
              <w:rPr>
                <w:sz w:val="18"/>
              </w:rPr>
            </w:pPr>
          </w:p>
        </w:tc>
        <w:tc>
          <w:tcPr>
            <w:tcW w:w="3443" w:type="dxa"/>
          </w:tcPr>
          <w:p w:rsidR="00113B38" w:rsidRPr="003D676D" w:rsidRDefault="00113B38" w:rsidP="00113B38">
            <w:pPr>
              <w:pStyle w:val="TableParagraph"/>
              <w:ind w:left="108"/>
              <w:jc w:val="both"/>
            </w:pPr>
            <w:r w:rsidRPr="003D676D">
              <w:t xml:space="preserve">“H” </w:t>
            </w:r>
            <w:proofErr w:type="gramStart"/>
            <w:r w:rsidRPr="003D676D">
              <w:t>Cetveli ....................................</w:t>
            </w:r>
            <w:proofErr w:type="gramEnd"/>
          </w:p>
        </w:tc>
        <w:tc>
          <w:tcPr>
            <w:tcW w:w="8184" w:type="dxa"/>
          </w:tcPr>
          <w:p w:rsidR="00113B38" w:rsidRPr="003D676D" w:rsidRDefault="00113B38" w:rsidP="00113B38">
            <w:pPr>
              <w:pStyle w:val="TableParagraph"/>
              <w:ind w:left="251"/>
              <w:jc w:val="both"/>
            </w:pPr>
            <w:r w:rsidRPr="003D676D">
              <w:t>Tahsil Amirlikleri</w:t>
            </w:r>
          </w:p>
        </w:tc>
      </w:tr>
      <w:tr w:rsidR="00113B38" w:rsidRPr="003D676D" w:rsidTr="00113B38">
        <w:trPr>
          <w:trHeight w:val="249"/>
        </w:trPr>
        <w:tc>
          <w:tcPr>
            <w:tcW w:w="2710" w:type="dxa"/>
          </w:tcPr>
          <w:p w:rsidR="00113B38" w:rsidRPr="003D676D" w:rsidRDefault="00113B38" w:rsidP="00113B38">
            <w:pPr>
              <w:pStyle w:val="TableParagraph"/>
              <w:jc w:val="both"/>
              <w:rPr>
                <w:sz w:val="18"/>
              </w:rPr>
            </w:pPr>
          </w:p>
        </w:tc>
        <w:tc>
          <w:tcPr>
            <w:tcW w:w="3443" w:type="dxa"/>
          </w:tcPr>
          <w:p w:rsidR="00113B38" w:rsidRPr="003D676D" w:rsidRDefault="00113B38" w:rsidP="00113B38">
            <w:pPr>
              <w:pStyle w:val="TableParagraph"/>
              <w:ind w:left="108"/>
              <w:jc w:val="both"/>
            </w:pPr>
            <w:r w:rsidRPr="003D676D">
              <w:t xml:space="preserve">“İ” </w:t>
            </w:r>
            <w:proofErr w:type="gramStart"/>
            <w:r w:rsidRPr="003D676D">
              <w:t>Cetveli ....................................</w:t>
            </w:r>
            <w:proofErr w:type="gramEnd"/>
          </w:p>
        </w:tc>
        <w:tc>
          <w:tcPr>
            <w:tcW w:w="8184" w:type="dxa"/>
          </w:tcPr>
          <w:p w:rsidR="00113B38" w:rsidRPr="003D676D" w:rsidRDefault="00113B38" w:rsidP="00113B38">
            <w:pPr>
              <w:pStyle w:val="TableParagraph"/>
              <w:ind w:left="251"/>
              <w:jc w:val="both"/>
            </w:pPr>
            <w:r w:rsidRPr="003D676D">
              <w:t>Kadro Fazlası Personel</w:t>
            </w:r>
          </w:p>
        </w:tc>
      </w:tr>
    </w:tbl>
    <w:p w:rsidR="00BF4CA4" w:rsidRDefault="00BF4CA4">
      <w:pPr>
        <w:pStyle w:val="BodyText"/>
        <w:rPr>
          <w:sz w:val="20"/>
        </w:rPr>
      </w:pPr>
    </w:p>
    <w:p w:rsidR="00BF4CA4" w:rsidRDefault="00BF4CA4">
      <w:pPr>
        <w:pStyle w:val="BodyText"/>
        <w:spacing w:before="1"/>
        <w:rPr>
          <w:sz w:val="16"/>
        </w:rPr>
      </w:pPr>
    </w:p>
    <w:tbl>
      <w:tblPr>
        <w:tblW w:w="0" w:type="auto"/>
        <w:tblInd w:w="118" w:type="dxa"/>
        <w:tblLayout w:type="fixed"/>
        <w:tblCellMar>
          <w:left w:w="0" w:type="dxa"/>
          <w:right w:w="0" w:type="dxa"/>
        </w:tblCellMar>
        <w:tblLook w:val="01E0" w:firstRow="1" w:lastRow="1" w:firstColumn="1" w:lastColumn="1" w:noHBand="0" w:noVBand="0"/>
      </w:tblPr>
      <w:tblGrid>
        <w:gridCol w:w="2576"/>
        <w:gridCol w:w="425"/>
        <w:gridCol w:w="11332"/>
      </w:tblGrid>
      <w:tr w:rsidR="00BF4CA4">
        <w:trPr>
          <w:trHeight w:val="248"/>
        </w:trPr>
        <w:tc>
          <w:tcPr>
            <w:tcW w:w="2576" w:type="dxa"/>
          </w:tcPr>
          <w:p w:rsidR="00BF4CA4" w:rsidRDefault="005F2B96" w:rsidP="00962D39">
            <w:pPr>
              <w:pStyle w:val="TableParagraph"/>
            </w:pPr>
            <w:r>
              <w:t>Analitik Bütçe</w:t>
            </w:r>
          </w:p>
        </w:tc>
        <w:tc>
          <w:tcPr>
            <w:tcW w:w="11757" w:type="dxa"/>
            <w:gridSpan w:val="2"/>
          </w:tcPr>
          <w:p w:rsidR="00BF4CA4" w:rsidRDefault="005F2B96" w:rsidP="003F4C08">
            <w:pPr>
              <w:pStyle w:val="TableParagraph"/>
              <w:jc w:val="both"/>
            </w:pPr>
            <w:r>
              <w:t>5. 2019 Mali Yılı Bütçesi, analitik bütçe sınıflandırmasında aşağıdaki şekilde düzenlenmiştir:</w:t>
            </w:r>
          </w:p>
        </w:tc>
      </w:tr>
      <w:tr w:rsidR="00BF4CA4" w:rsidTr="00CC4DB9">
        <w:trPr>
          <w:trHeight w:val="506"/>
        </w:trPr>
        <w:tc>
          <w:tcPr>
            <w:tcW w:w="2576" w:type="dxa"/>
          </w:tcPr>
          <w:p w:rsidR="00BF4CA4" w:rsidRDefault="005F2B96" w:rsidP="00962D39">
            <w:pPr>
              <w:pStyle w:val="TableParagraph"/>
            </w:pPr>
            <w:r>
              <w:t>Sınıflandırması</w:t>
            </w:r>
          </w:p>
        </w:tc>
        <w:tc>
          <w:tcPr>
            <w:tcW w:w="425" w:type="dxa"/>
          </w:tcPr>
          <w:p w:rsidR="00BF4CA4" w:rsidRDefault="005F2B96" w:rsidP="003F4C08">
            <w:pPr>
              <w:pStyle w:val="TableParagraph"/>
              <w:jc w:val="both"/>
            </w:pPr>
            <w:r>
              <w:t>(1)</w:t>
            </w:r>
          </w:p>
        </w:tc>
        <w:tc>
          <w:tcPr>
            <w:tcW w:w="11332" w:type="dxa"/>
          </w:tcPr>
          <w:p w:rsidR="00BF4CA4" w:rsidRDefault="005F2B96" w:rsidP="00CC4DB9">
            <w:pPr>
              <w:pStyle w:val="TableParagraph"/>
              <w:jc w:val="both"/>
            </w:pPr>
            <w:r>
              <w:t>Kurumsal Sınıflandırma: Birinci düzeyinde Bakanlıklar ve Bağımsız Daireler, İkinci düzeyinde ise Bakanlıklara</w:t>
            </w:r>
            <w:r w:rsidR="00CC4DB9">
              <w:t xml:space="preserve"> </w:t>
            </w:r>
            <w:r>
              <w:t>bağlı Daireler yer almaktadır.</w:t>
            </w:r>
          </w:p>
        </w:tc>
      </w:tr>
      <w:tr w:rsidR="00BF4CA4" w:rsidTr="00CC4DB9">
        <w:trPr>
          <w:trHeight w:val="251"/>
        </w:trPr>
        <w:tc>
          <w:tcPr>
            <w:tcW w:w="2576" w:type="dxa"/>
          </w:tcPr>
          <w:p w:rsidR="00BF4CA4" w:rsidRDefault="00BF4CA4" w:rsidP="003F4C08">
            <w:pPr>
              <w:pStyle w:val="TableParagraph"/>
              <w:jc w:val="both"/>
              <w:rPr>
                <w:sz w:val="18"/>
              </w:rPr>
            </w:pPr>
          </w:p>
        </w:tc>
        <w:tc>
          <w:tcPr>
            <w:tcW w:w="425" w:type="dxa"/>
          </w:tcPr>
          <w:p w:rsidR="00BF4CA4" w:rsidRDefault="005F2B96" w:rsidP="003F4C08">
            <w:pPr>
              <w:pStyle w:val="TableParagraph"/>
              <w:jc w:val="both"/>
            </w:pPr>
            <w:r>
              <w:t>(2)</w:t>
            </w:r>
          </w:p>
        </w:tc>
        <w:tc>
          <w:tcPr>
            <w:tcW w:w="11332" w:type="dxa"/>
          </w:tcPr>
          <w:p w:rsidR="00BF4CA4" w:rsidRDefault="005F2B96" w:rsidP="003F4C08">
            <w:pPr>
              <w:pStyle w:val="TableParagraph"/>
              <w:jc w:val="both"/>
            </w:pPr>
            <w:r>
              <w:t>Fonksiyonel Sınıflandırma: Devlet faaliyetlerinin işlevini göstermektedir.</w:t>
            </w:r>
          </w:p>
        </w:tc>
      </w:tr>
      <w:tr w:rsidR="00BF4CA4" w:rsidTr="00CC4DB9">
        <w:trPr>
          <w:trHeight w:val="253"/>
        </w:trPr>
        <w:tc>
          <w:tcPr>
            <w:tcW w:w="2576" w:type="dxa"/>
          </w:tcPr>
          <w:p w:rsidR="00BF4CA4" w:rsidRDefault="00BF4CA4" w:rsidP="003F4C08">
            <w:pPr>
              <w:pStyle w:val="TableParagraph"/>
              <w:jc w:val="both"/>
              <w:rPr>
                <w:sz w:val="18"/>
              </w:rPr>
            </w:pPr>
          </w:p>
        </w:tc>
        <w:tc>
          <w:tcPr>
            <w:tcW w:w="425" w:type="dxa"/>
          </w:tcPr>
          <w:p w:rsidR="00BF4CA4" w:rsidRDefault="005F2B96" w:rsidP="003F4C08">
            <w:pPr>
              <w:pStyle w:val="TableParagraph"/>
              <w:jc w:val="both"/>
            </w:pPr>
            <w:r>
              <w:t>(3)</w:t>
            </w:r>
          </w:p>
        </w:tc>
        <w:tc>
          <w:tcPr>
            <w:tcW w:w="11332" w:type="dxa"/>
          </w:tcPr>
          <w:p w:rsidR="00BF4CA4" w:rsidRDefault="005F2B96" w:rsidP="003F4C08">
            <w:pPr>
              <w:pStyle w:val="TableParagraph"/>
              <w:jc w:val="both"/>
            </w:pPr>
            <w:r>
              <w:t>Finansal Sınıflandırma: Yapılan harcamaların hangi kaynaktan finanse edildiğini göstermektedir.</w:t>
            </w:r>
          </w:p>
        </w:tc>
      </w:tr>
      <w:tr w:rsidR="00BF4CA4" w:rsidTr="00CC4DB9">
        <w:trPr>
          <w:trHeight w:val="454"/>
        </w:trPr>
        <w:tc>
          <w:tcPr>
            <w:tcW w:w="2576" w:type="dxa"/>
          </w:tcPr>
          <w:p w:rsidR="00BF4CA4" w:rsidRDefault="00BF4CA4" w:rsidP="003F4C08">
            <w:pPr>
              <w:pStyle w:val="TableParagraph"/>
              <w:jc w:val="both"/>
            </w:pPr>
          </w:p>
        </w:tc>
        <w:tc>
          <w:tcPr>
            <w:tcW w:w="425" w:type="dxa"/>
          </w:tcPr>
          <w:p w:rsidR="00BF4CA4" w:rsidRDefault="005F2B96" w:rsidP="003F4C08">
            <w:pPr>
              <w:pStyle w:val="TableParagraph"/>
              <w:jc w:val="both"/>
            </w:pPr>
            <w:r>
              <w:t>(4)</w:t>
            </w:r>
          </w:p>
        </w:tc>
        <w:tc>
          <w:tcPr>
            <w:tcW w:w="11332" w:type="dxa"/>
          </w:tcPr>
          <w:p w:rsidR="00BF4CA4" w:rsidRDefault="005F2B96" w:rsidP="003F4C08">
            <w:pPr>
              <w:pStyle w:val="TableParagraph"/>
              <w:jc w:val="both"/>
            </w:pPr>
            <w:r>
              <w:t>Ekonomik Sınıflandırma: Ödeneklerin ekonomik sınıflandırılmasını göstermektedir ve detaylı açıklamaları “F” Cetveli Eko-Rehberde yer almaktadır.</w:t>
            </w:r>
          </w:p>
        </w:tc>
      </w:tr>
      <w:tr w:rsidR="003F4C08" w:rsidTr="00CC4DB9">
        <w:trPr>
          <w:trHeight w:val="80"/>
        </w:trPr>
        <w:tc>
          <w:tcPr>
            <w:tcW w:w="2576" w:type="dxa"/>
          </w:tcPr>
          <w:p w:rsidR="003F4C08" w:rsidRDefault="003F4C08" w:rsidP="003F4C08">
            <w:pPr>
              <w:pStyle w:val="TableParagraph"/>
              <w:jc w:val="both"/>
            </w:pPr>
          </w:p>
        </w:tc>
        <w:tc>
          <w:tcPr>
            <w:tcW w:w="425" w:type="dxa"/>
          </w:tcPr>
          <w:p w:rsidR="003F4C08" w:rsidRDefault="003F4C08" w:rsidP="003F4C08">
            <w:pPr>
              <w:pStyle w:val="TableParagraph"/>
              <w:jc w:val="both"/>
            </w:pPr>
          </w:p>
        </w:tc>
        <w:tc>
          <w:tcPr>
            <w:tcW w:w="11332" w:type="dxa"/>
          </w:tcPr>
          <w:p w:rsidR="003F4C08" w:rsidRDefault="003F4C08" w:rsidP="003F4C08">
            <w:pPr>
              <w:pStyle w:val="TableParagraph"/>
              <w:jc w:val="both"/>
            </w:pPr>
          </w:p>
        </w:tc>
      </w:tr>
      <w:tr w:rsidR="00BF4CA4" w:rsidTr="003F4C08">
        <w:trPr>
          <w:trHeight w:val="407"/>
        </w:trPr>
        <w:tc>
          <w:tcPr>
            <w:tcW w:w="2576" w:type="dxa"/>
          </w:tcPr>
          <w:p w:rsidR="00BF4CA4" w:rsidRDefault="005F2B96" w:rsidP="003F4C08">
            <w:pPr>
              <w:pStyle w:val="TableParagraph"/>
            </w:pPr>
            <w:r>
              <w:t>Bütçe Politikası ve Mali Kontrol</w:t>
            </w:r>
          </w:p>
        </w:tc>
        <w:tc>
          <w:tcPr>
            <w:tcW w:w="11757" w:type="dxa"/>
            <w:gridSpan w:val="2"/>
          </w:tcPr>
          <w:p w:rsidR="00BF4CA4" w:rsidRDefault="005F2B96" w:rsidP="003F4C08">
            <w:pPr>
              <w:pStyle w:val="TableParagraph"/>
              <w:jc w:val="both"/>
            </w:pPr>
            <w:r>
              <w:t>6. Maliye İşleriyle Görevli Bakan, tutarlı, dengeli ve etkili bir bütçe politikası yürütmek, istikrarı temin etmek ve mali kontrol sağlamak amacıyla;</w:t>
            </w:r>
          </w:p>
        </w:tc>
      </w:tr>
      <w:tr w:rsidR="00BF4CA4" w:rsidTr="003405B1">
        <w:trPr>
          <w:trHeight w:val="253"/>
        </w:trPr>
        <w:tc>
          <w:tcPr>
            <w:tcW w:w="2576" w:type="dxa"/>
          </w:tcPr>
          <w:p w:rsidR="00BF4CA4" w:rsidRDefault="00BF4CA4" w:rsidP="003F4C08">
            <w:pPr>
              <w:pStyle w:val="TableParagraph"/>
              <w:jc w:val="both"/>
              <w:rPr>
                <w:sz w:val="18"/>
              </w:rPr>
            </w:pPr>
          </w:p>
        </w:tc>
        <w:tc>
          <w:tcPr>
            <w:tcW w:w="425" w:type="dxa"/>
          </w:tcPr>
          <w:p w:rsidR="00BF4CA4" w:rsidRDefault="005F2B96" w:rsidP="003F4C08">
            <w:pPr>
              <w:pStyle w:val="TableParagraph"/>
              <w:jc w:val="both"/>
            </w:pPr>
            <w:r>
              <w:t>(1)</w:t>
            </w:r>
          </w:p>
        </w:tc>
        <w:tc>
          <w:tcPr>
            <w:tcW w:w="11332" w:type="dxa"/>
          </w:tcPr>
          <w:p w:rsidR="00BF4CA4" w:rsidRDefault="005F2B96" w:rsidP="003F4C08">
            <w:pPr>
              <w:pStyle w:val="TableParagraph"/>
              <w:jc w:val="both"/>
            </w:pPr>
            <w:r>
              <w:t>Kamu istihdam politikasının belirlenmesine ve uygulanmasına yön vermeye,</w:t>
            </w:r>
          </w:p>
        </w:tc>
      </w:tr>
      <w:tr w:rsidR="00BF4CA4" w:rsidTr="003405B1">
        <w:trPr>
          <w:trHeight w:val="253"/>
        </w:trPr>
        <w:tc>
          <w:tcPr>
            <w:tcW w:w="2576" w:type="dxa"/>
          </w:tcPr>
          <w:p w:rsidR="00BF4CA4" w:rsidRDefault="00BF4CA4" w:rsidP="003F4C08">
            <w:pPr>
              <w:pStyle w:val="TableParagraph"/>
              <w:jc w:val="both"/>
              <w:rPr>
                <w:sz w:val="18"/>
              </w:rPr>
            </w:pPr>
          </w:p>
        </w:tc>
        <w:tc>
          <w:tcPr>
            <w:tcW w:w="425" w:type="dxa"/>
          </w:tcPr>
          <w:p w:rsidR="00BF4CA4" w:rsidRDefault="005F2B96" w:rsidP="003F4C08">
            <w:pPr>
              <w:pStyle w:val="TableParagraph"/>
              <w:jc w:val="both"/>
            </w:pPr>
            <w:r>
              <w:t>(2)</w:t>
            </w:r>
          </w:p>
        </w:tc>
        <w:tc>
          <w:tcPr>
            <w:tcW w:w="11332" w:type="dxa"/>
          </w:tcPr>
          <w:p w:rsidR="00BF4CA4" w:rsidRDefault="005F2B96" w:rsidP="003F4C08">
            <w:pPr>
              <w:pStyle w:val="TableParagraph"/>
              <w:jc w:val="both"/>
            </w:pPr>
            <w:r>
              <w:t>Harcamalarda azami tasarruf sağlayıcı düzenlemeleri tespit etmeye,</w:t>
            </w:r>
          </w:p>
        </w:tc>
      </w:tr>
      <w:tr w:rsidR="00BF4CA4" w:rsidTr="003405B1">
        <w:trPr>
          <w:trHeight w:val="253"/>
        </w:trPr>
        <w:tc>
          <w:tcPr>
            <w:tcW w:w="2576" w:type="dxa"/>
          </w:tcPr>
          <w:p w:rsidR="00BF4CA4" w:rsidRDefault="00BF4CA4" w:rsidP="003F4C08">
            <w:pPr>
              <w:pStyle w:val="TableParagraph"/>
              <w:jc w:val="both"/>
              <w:rPr>
                <w:sz w:val="18"/>
              </w:rPr>
            </w:pPr>
          </w:p>
        </w:tc>
        <w:tc>
          <w:tcPr>
            <w:tcW w:w="425" w:type="dxa"/>
          </w:tcPr>
          <w:p w:rsidR="00BF4CA4" w:rsidRDefault="005F2B96" w:rsidP="003F4C08">
            <w:pPr>
              <w:pStyle w:val="TableParagraph"/>
              <w:jc w:val="both"/>
            </w:pPr>
            <w:r>
              <w:t>(3)</w:t>
            </w:r>
          </w:p>
        </w:tc>
        <w:tc>
          <w:tcPr>
            <w:tcW w:w="11332" w:type="dxa"/>
          </w:tcPr>
          <w:p w:rsidR="00BF4CA4" w:rsidRDefault="005F2B96" w:rsidP="003F4C08">
            <w:pPr>
              <w:pStyle w:val="TableParagraph"/>
              <w:jc w:val="both"/>
            </w:pPr>
            <w:r>
              <w:t>Giderlerle ilgili ödeneklerin dağıtımı ve kullanımını belli esaslara bağlamaya, ve</w:t>
            </w:r>
          </w:p>
        </w:tc>
      </w:tr>
      <w:tr w:rsidR="00BF4CA4" w:rsidTr="00CC4DB9">
        <w:trPr>
          <w:trHeight w:val="269"/>
        </w:trPr>
        <w:tc>
          <w:tcPr>
            <w:tcW w:w="2576" w:type="dxa"/>
          </w:tcPr>
          <w:p w:rsidR="00BF4CA4" w:rsidRDefault="00BF4CA4" w:rsidP="003F4C08">
            <w:pPr>
              <w:pStyle w:val="TableParagraph"/>
              <w:jc w:val="both"/>
            </w:pPr>
          </w:p>
        </w:tc>
        <w:tc>
          <w:tcPr>
            <w:tcW w:w="425" w:type="dxa"/>
          </w:tcPr>
          <w:p w:rsidR="00BF4CA4" w:rsidRDefault="005F2B96" w:rsidP="003F4C08">
            <w:pPr>
              <w:pStyle w:val="TableParagraph"/>
              <w:jc w:val="both"/>
            </w:pPr>
            <w:r>
              <w:t>(4)</w:t>
            </w:r>
          </w:p>
        </w:tc>
        <w:tc>
          <w:tcPr>
            <w:tcW w:w="11332" w:type="dxa"/>
          </w:tcPr>
          <w:p w:rsidR="00BF4CA4" w:rsidRDefault="005F2B96" w:rsidP="00CC4DB9">
            <w:pPr>
              <w:pStyle w:val="TableParagraph"/>
              <w:jc w:val="both"/>
            </w:pPr>
            <w:r>
              <w:t>Gelir ve giderlere ilişkin yasa ve mevzuatla belirlenmiş konularda uygulamaları düzenlemek üzere standartları tespit</w:t>
            </w:r>
            <w:r w:rsidR="00CC4DB9">
              <w:t xml:space="preserve"> </w:t>
            </w:r>
            <w:r>
              <w:t>etmeye,</w:t>
            </w:r>
          </w:p>
        </w:tc>
      </w:tr>
      <w:tr w:rsidR="003F4C08" w:rsidTr="003405B1">
        <w:trPr>
          <w:trHeight w:val="178"/>
        </w:trPr>
        <w:tc>
          <w:tcPr>
            <w:tcW w:w="2576" w:type="dxa"/>
          </w:tcPr>
          <w:p w:rsidR="003F4C08" w:rsidRDefault="003F4C08" w:rsidP="003F4C08">
            <w:pPr>
              <w:pStyle w:val="TableParagraph"/>
              <w:jc w:val="both"/>
            </w:pPr>
          </w:p>
        </w:tc>
        <w:tc>
          <w:tcPr>
            <w:tcW w:w="425" w:type="dxa"/>
          </w:tcPr>
          <w:p w:rsidR="003F4C08" w:rsidRDefault="003F4C08" w:rsidP="003F4C08">
            <w:pPr>
              <w:pStyle w:val="TableParagraph"/>
              <w:jc w:val="both"/>
            </w:pPr>
          </w:p>
        </w:tc>
        <w:tc>
          <w:tcPr>
            <w:tcW w:w="11332" w:type="dxa"/>
          </w:tcPr>
          <w:p w:rsidR="003F4C08" w:rsidRDefault="003F4C08" w:rsidP="003F4C08">
            <w:pPr>
              <w:pStyle w:val="TableParagraph"/>
              <w:jc w:val="both"/>
            </w:pPr>
            <w:proofErr w:type="gramStart"/>
            <w:r>
              <w:t>yetkilidir</w:t>
            </w:r>
            <w:proofErr w:type="gramEnd"/>
            <w:r>
              <w:t>.</w:t>
            </w:r>
          </w:p>
        </w:tc>
      </w:tr>
      <w:tr w:rsidR="00BF4CA4" w:rsidTr="003F4C08">
        <w:trPr>
          <w:trHeight w:val="209"/>
        </w:trPr>
        <w:tc>
          <w:tcPr>
            <w:tcW w:w="14333" w:type="dxa"/>
            <w:gridSpan w:val="3"/>
          </w:tcPr>
          <w:p w:rsidR="00BF4CA4" w:rsidRDefault="00BF4CA4" w:rsidP="003F4C08">
            <w:pPr>
              <w:pStyle w:val="TableParagraph"/>
              <w:jc w:val="both"/>
            </w:pPr>
          </w:p>
        </w:tc>
      </w:tr>
      <w:tr w:rsidR="00BF4CA4" w:rsidTr="003F4C08">
        <w:trPr>
          <w:trHeight w:val="809"/>
        </w:trPr>
        <w:tc>
          <w:tcPr>
            <w:tcW w:w="2576" w:type="dxa"/>
          </w:tcPr>
          <w:p w:rsidR="00BF4CA4" w:rsidRDefault="005F2B96" w:rsidP="003F4C08">
            <w:pPr>
              <w:pStyle w:val="TableParagraph"/>
            </w:pPr>
            <w:r>
              <w:t>Aktarma Kuralları ve Yöntemi</w:t>
            </w:r>
          </w:p>
          <w:p w:rsidR="00BF4CA4" w:rsidRDefault="005F2B96" w:rsidP="003F4C08">
            <w:pPr>
              <w:pStyle w:val="TableParagraph"/>
              <w:jc w:val="both"/>
            </w:pPr>
            <w:r>
              <w:t>16/1999</w:t>
            </w:r>
          </w:p>
        </w:tc>
        <w:tc>
          <w:tcPr>
            <w:tcW w:w="11757" w:type="dxa"/>
            <w:gridSpan w:val="2"/>
          </w:tcPr>
          <w:p w:rsidR="00BF4CA4" w:rsidRDefault="005F2B96" w:rsidP="00CC4DB9">
            <w:pPr>
              <w:pStyle w:val="TableParagraph"/>
              <w:jc w:val="both"/>
            </w:pPr>
            <w:r>
              <w:t>7. Bütçenin Hazırlanması ve Uygulanmasına İlişkin Kurallar Yasasının 14’üncü maddesi kurallarına bakılmaksızın, aktarma önerileri ilgili harcamacı kuruluşlarca, Maliye İşleriyle Görevli Bakanlığa gönderilir ve Bakanlık finansman kaynağına</w:t>
            </w:r>
            <w:r w:rsidR="00CC4DB9">
              <w:t xml:space="preserve"> </w:t>
            </w:r>
            <w:r>
              <w:t>bakılmaksızın öneriyi aşağıdaki esaslar ve usuller çerçevesinde değerlendirir:</w:t>
            </w:r>
          </w:p>
        </w:tc>
      </w:tr>
      <w:tr w:rsidR="00BF4CA4" w:rsidTr="003405B1">
        <w:trPr>
          <w:trHeight w:val="252"/>
        </w:trPr>
        <w:tc>
          <w:tcPr>
            <w:tcW w:w="2576" w:type="dxa"/>
          </w:tcPr>
          <w:p w:rsidR="00BF4CA4" w:rsidRDefault="00BF4CA4" w:rsidP="003F4C08">
            <w:pPr>
              <w:pStyle w:val="TableParagraph"/>
              <w:jc w:val="both"/>
              <w:rPr>
                <w:sz w:val="18"/>
              </w:rPr>
            </w:pPr>
          </w:p>
        </w:tc>
        <w:tc>
          <w:tcPr>
            <w:tcW w:w="425" w:type="dxa"/>
          </w:tcPr>
          <w:p w:rsidR="00BF4CA4" w:rsidRDefault="005F2B96" w:rsidP="003F4C08">
            <w:pPr>
              <w:pStyle w:val="TableParagraph"/>
              <w:jc w:val="both"/>
            </w:pPr>
            <w:r>
              <w:t>(1)</w:t>
            </w:r>
          </w:p>
        </w:tc>
        <w:tc>
          <w:tcPr>
            <w:tcW w:w="11332" w:type="dxa"/>
          </w:tcPr>
          <w:p w:rsidR="00BF4CA4" w:rsidRDefault="005F2B96" w:rsidP="003F4C08">
            <w:pPr>
              <w:pStyle w:val="TableParagraph"/>
              <w:jc w:val="both"/>
            </w:pPr>
            <w:r>
              <w:t>Kurumsal ayrımın I. Düzeyleri arasında yapılacak aktarmalar, Cumhuriyet Meclisi tarafından yapılır.</w:t>
            </w:r>
          </w:p>
        </w:tc>
      </w:tr>
      <w:tr w:rsidR="00BF4CA4" w:rsidTr="003405B1">
        <w:trPr>
          <w:trHeight w:val="506"/>
        </w:trPr>
        <w:tc>
          <w:tcPr>
            <w:tcW w:w="2576" w:type="dxa"/>
          </w:tcPr>
          <w:p w:rsidR="00BF4CA4" w:rsidRDefault="00BF4CA4" w:rsidP="003F4C08">
            <w:pPr>
              <w:pStyle w:val="TableParagraph"/>
              <w:jc w:val="both"/>
            </w:pPr>
          </w:p>
        </w:tc>
        <w:tc>
          <w:tcPr>
            <w:tcW w:w="425" w:type="dxa"/>
          </w:tcPr>
          <w:p w:rsidR="00BF4CA4" w:rsidRDefault="005F2B96" w:rsidP="003F4C08">
            <w:pPr>
              <w:pStyle w:val="TableParagraph"/>
              <w:jc w:val="both"/>
            </w:pPr>
            <w:r>
              <w:t>(2)</w:t>
            </w:r>
          </w:p>
        </w:tc>
        <w:tc>
          <w:tcPr>
            <w:tcW w:w="11332" w:type="dxa"/>
          </w:tcPr>
          <w:p w:rsidR="00BF4CA4" w:rsidRDefault="005F2B96" w:rsidP="00CC4DB9">
            <w:pPr>
              <w:pStyle w:val="TableParagraph"/>
              <w:jc w:val="both"/>
            </w:pPr>
            <w:r>
              <w:t>Kurumsal ayrımların II. Düzeyleri arasında yapılacak aktarmalar, yeni madde ihdası da dahil, İta Amirinin önerisi</w:t>
            </w:r>
            <w:r w:rsidR="00CC4DB9">
              <w:t xml:space="preserve"> </w:t>
            </w:r>
            <w:r>
              <w:t>üzerine Maliye İşleriyle Görevli Bakanlığın onayına bağlıdır.</w:t>
            </w:r>
          </w:p>
        </w:tc>
      </w:tr>
      <w:tr w:rsidR="00BF4CA4" w:rsidTr="003405B1">
        <w:trPr>
          <w:trHeight w:val="506"/>
        </w:trPr>
        <w:tc>
          <w:tcPr>
            <w:tcW w:w="2576" w:type="dxa"/>
          </w:tcPr>
          <w:p w:rsidR="00BF4CA4" w:rsidRDefault="00BF4CA4" w:rsidP="003F4C08">
            <w:pPr>
              <w:pStyle w:val="TableParagraph"/>
              <w:jc w:val="both"/>
            </w:pPr>
          </w:p>
        </w:tc>
        <w:tc>
          <w:tcPr>
            <w:tcW w:w="425" w:type="dxa"/>
          </w:tcPr>
          <w:p w:rsidR="00BF4CA4" w:rsidRDefault="005F2B96" w:rsidP="003F4C08">
            <w:pPr>
              <w:pStyle w:val="TableParagraph"/>
              <w:jc w:val="both"/>
            </w:pPr>
            <w:r>
              <w:t>(3)</w:t>
            </w:r>
          </w:p>
        </w:tc>
        <w:tc>
          <w:tcPr>
            <w:tcW w:w="11332" w:type="dxa"/>
          </w:tcPr>
          <w:p w:rsidR="00BF4CA4" w:rsidRDefault="005F2B96" w:rsidP="00CC4DB9">
            <w:pPr>
              <w:pStyle w:val="TableParagraph"/>
              <w:jc w:val="both"/>
            </w:pPr>
            <w:r>
              <w:t>Ekonomik Sınıflandırmada herhangi bir ödenek kalemi altında öngörülen bir hizmetin yerine getirilmemesi nedeniyle</w:t>
            </w:r>
            <w:r w:rsidR="00CC4DB9">
              <w:t xml:space="preserve"> </w:t>
            </w:r>
            <w:r>
              <w:t>kullanılmayan ödenek, Bakanlar Kurulunun uygun görüşü alınmadıkça başka bir kaleme aktarılamaz.</w:t>
            </w:r>
          </w:p>
        </w:tc>
      </w:tr>
      <w:tr w:rsidR="00BF4CA4" w:rsidTr="003405B1">
        <w:trPr>
          <w:trHeight w:val="505"/>
        </w:trPr>
        <w:tc>
          <w:tcPr>
            <w:tcW w:w="2576" w:type="dxa"/>
          </w:tcPr>
          <w:p w:rsidR="00BF4CA4" w:rsidRDefault="00BF4CA4" w:rsidP="003F4C08">
            <w:pPr>
              <w:pStyle w:val="TableParagraph"/>
              <w:jc w:val="both"/>
            </w:pPr>
          </w:p>
        </w:tc>
        <w:tc>
          <w:tcPr>
            <w:tcW w:w="425" w:type="dxa"/>
          </w:tcPr>
          <w:p w:rsidR="00BF4CA4" w:rsidRDefault="005F2B96" w:rsidP="003F4C08">
            <w:pPr>
              <w:pStyle w:val="TableParagraph"/>
              <w:jc w:val="both"/>
            </w:pPr>
            <w:r>
              <w:t>(4)</w:t>
            </w:r>
          </w:p>
        </w:tc>
        <w:tc>
          <w:tcPr>
            <w:tcW w:w="11332" w:type="dxa"/>
          </w:tcPr>
          <w:p w:rsidR="00BF4CA4" w:rsidRDefault="005F2B96" w:rsidP="00CC4DB9">
            <w:pPr>
              <w:pStyle w:val="TableParagraph"/>
              <w:jc w:val="both"/>
            </w:pPr>
            <w:r>
              <w:t>Aktarma suretiyle ödeneği azaltılan bir kaleme veya aktarma suretiyle ödeneği artırılan bir kalemden başka bir</w:t>
            </w:r>
            <w:r w:rsidR="00CC4DB9">
              <w:t xml:space="preserve"> </w:t>
            </w:r>
            <w:r>
              <w:t>kaleme aktarma yapılamaz.</w:t>
            </w:r>
          </w:p>
        </w:tc>
      </w:tr>
      <w:tr w:rsidR="00BF4CA4" w:rsidTr="003405B1">
        <w:trPr>
          <w:trHeight w:val="253"/>
        </w:trPr>
        <w:tc>
          <w:tcPr>
            <w:tcW w:w="2576" w:type="dxa"/>
          </w:tcPr>
          <w:p w:rsidR="00BF4CA4" w:rsidRDefault="00BF4CA4" w:rsidP="003F4C08">
            <w:pPr>
              <w:pStyle w:val="TableParagraph"/>
              <w:jc w:val="both"/>
              <w:rPr>
                <w:sz w:val="18"/>
              </w:rPr>
            </w:pPr>
          </w:p>
        </w:tc>
        <w:tc>
          <w:tcPr>
            <w:tcW w:w="425" w:type="dxa"/>
          </w:tcPr>
          <w:p w:rsidR="00BF4CA4" w:rsidRDefault="005F2B96" w:rsidP="003F4C08">
            <w:pPr>
              <w:pStyle w:val="TableParagraph"/>
              <w:jc w:val="both"/>
            </w:pPr>
            <w:r>
              <w:t>(5)</w:t>
            </w:r>
          </w:p>
        </w:tc>
        <w:tc>
          <w:tcPr>
            <w:tcW w:w="11332" w:type="dxa"/>
          </w:tcPr>
          <w:p w:rsidR="00BF4CA4" w:rsidRDefault="005F2B96" w:rsidP="003F4C08">
            <w:pPr>
              <w:pStyle w:val="TableParagraph"/>
              <w:jc w:val="both"/>
            </w:pPr>
            <w:r>
              <w:t>Bütçede öngörülen bir ödeneğin %50’sinden fazla miktarını aktarmaya Bakanlar Kurulu yetkilidir.</w:t>
            </w:r>
          </w:p>
        </w:tc>
      </w:tr>
      <w:tr w:rsidR="00BF4CA4" w:rsidTr="003405B1">
        <w:trPr>
          <w:trHeight w:val="506"/>
        </w:trPr>
        <w:tc>
          <w:tcPr>
            <w:tcW w:w="2576" w:type="dxa"/>
          </w:tcPr>
          <w:p w:rsidR="00BF4CA4" w:rsidRDefault="00BF4CA4" w:rsidP="003F4C08">
            <w:pPr>
              <w:pStyle w:val="TableParagraph"/>
              <w:jc w:val="both"/>
            </w:pPr>
          </w:p>
        </w:tc>
        <w:tc>
          <w:tcPr>
            <w:tcW w:w="425" w:type="dxa"/>
          </w:tcPr>
          <w:p w:rsidR="00BF4CA4" w:rsidRDefault="005F2B96" w:rsidP="003F4C08">
            <w:pPr>
              <w:pStyle w:val="TableParagraph"/>
              <w:jc w:val="both"/>
            </w:pPr>
            <w:r>
              <w:t>(6)</w:t>
            </w:r>
          </w:p>
        </w:tc>
        <w:tc>
          <w:tcPr>
            <w:tcW w:w="11332" w:type="dxa"/>
          </w:tcPr>
          <w:p w:rsidR="00BF4CA4" w:rsidRDefault="005F2B96" w:rsidP="00CC4DB9">
            <w:pPr>
              <w:pStyle w:val="TableParagraph"/>
              <w:jc w:val="both"/>
            </w:pPr>
            <w:r>
              <w:t>Mali yıl içinde Bakanlık isimlerinin ve Bakanlıklara bağlı dairelerin değişmesi halinde, buna paralel olarak yapılacak</w:t>
            </w:r>
            <w:r w:rsidR="00CC4DB9">
              <w:t xml:space="preserve"> </w:t>
            </w:r>
            <w:r>
              <w:t>kurumsal sınıflandırmanın I. ve II. Düzeyleri arasındaki aktarmalara Bakanlar Kurulu yetkilidir.</w:t>
            </w:r>
          </w:p>
        </w:tc>
      </w:tr>
      <w:tr w:rsidR="00BF4CA4" w:rsidTr="003405B1">
        <w:trPr>
          <w:trHeight w:val="1006"/>
        </w:trPr>
        <w:tc>
          <w:tcPr>
            <w:tcW w:w="2576" w:type="dxa"/>
          </w:tcPr>
          <w:p w:rsidR="00BF4CA4" w:rsidRDefault="00BF4CA4" w:rsidP="003F4C08">
            <w:pPr>
              <w:pStyle w:val="TableParagraph"/>
              <w:jc w:val="both"/>
            </w:pPr>
          </w:p>
        </w:tc>
        <w:tc>
          <w:tcPr>
            <w:tcW w:w="425" w:type="dxa"/>
          </w:tcPr>
          <w:p w:rsidR="00BF4CA4" w:rsidRDefault="005F2B96" w:rsidP="003F4C08">
            <w:pPr>
              <w:pStyle w:val="TableParagraph"/>
              <w:jc w:val="both"/>
            </w:pPr>
            <w:r>
              <w:t>(7)</w:t>
            </w:r>
          </w:p>
        </w:tc>
        <w:tc>
          <w:tcPr>
            <w:tcW w:w="11332" w:type="dxa"/>
          </w:tcPr>
          <w:p w:rsidR="00BF4CA4" w:rsidRDefault="005F2B96" w:rsidP="00CC4DB9">
            <w:pPr>
              <w:pStyle w:val="TableParagraph"/>
              <w:jc w:val="both"/>
            </w:pPr>
            <w:r>
              <w:t>Bakanlıklar,</w:t>
            </w:r>
            <w:r>
              <w:rPr>
                <w:spacing w:val="12"/>
              </w:rPr>
              <w:t xml:space="preserve"> </w:t>
            </w:r>
            <w:r>
              <w:t>bağlı</w:t>
            </w:r>
            <w:r>
              <w:rPr>
                <w:spacing w:val="15"/>
              </w:rPr>
              <w:t xml:space="preserve"> </w:t>
            </w:r>
            <w:r>
              <w:t>daireler</w:t>
            </w:r>
            <w:r>
              <w:rPr>
                <w:spacing w:val="13"/>
              </w:rPr>
              <w:t xml:space="preserve"> </w:t>
            </w:r>
            <w:r>
              <w:t>ve</w:t>
            </w:r>
            <w:r>
              <w:rPr>
                <w:spacing w:val="15"/>
              </w:rPr>
              <w:t xml:space="preserve"> </w:t>
            </w:r>
            <w:r>
              <w:t>bağımsız</w:t>
            </w:r>
            <w:r>
              <w:rPr>
                <w:spacing w:val="14"/>
              </w:rPr>
              <w:t xml:space="preserve"> </w:t>
            </w:r>
            <w:r>
              <w:t>dairelerin</w:t>
            </w:r>
            <w:r>
              <w:rPr>
                <w:spacing w:val="14"/>
              </w:rPr>
              <w:t xml:space="preserve"> </w:t>
            </w:r>
            <w:r>
              <w:t>bütçelerinde</w:t>
            </w:r>
            <w:r>
              <w:rPr>
                <w:spacing w:val="15"/>
              </w:rPr>
              <w:t xml:space="preserve"> </w:t>
            </w:r>
            <w:r>
              <w:t>yer</w:t>
            </w:r>
            <w:r>
              <w:rPr>
                <w:spacing w:val="15"/>
              </w:rPr>
              <w:t xml:space="preserve"> </w:t>
            </w:r>
            <w:r>
              <w:t>alan</w:t>
            </w:r>
            <w:r>
              <w:rPr>
                <w:spacing w:val="14"/>
              </w:rPr>
              <w:t xml:space="preserve"> </w:t>
            </w:r>
            <w:r>
              <w:t>“Elektrik</w:t>
            </w:r>
            <w:r>
              <w:rPr>
                <w:spacing w:val="12"/>
              </w:rPr>
              <w:t xml:space="preserve"> </w:t>
            </w:r>
            <w:r>
              <w:t>Alımları</w:t>
            </w:r>
            <w:r>
              <w:rPr>
                <w:spacing w:val="15"/>
              </w:rPr>
              <w:t xml:space="preserve"> </w:t>
            </w:r>
            <w:r>
              <w:t>IV.</w:t>
            </w:r>
            <w:r>
              <w:rPr>
                <w:spacing w:val="14"/>
              </w:rPr>
              <w:t xml:space="preserve"> </w:t>
            </w:r>
            <w:r>
              <w:t>Düzey”,</w:t>
            </w:r>
            <w:r>
              <w:rPr>
                <w:spacing w:val="15"/>
              </w:rPr>
              <w:t xml:space="preserve"> </w:t>
            </w:r>
            <w:r>
              <w:t>“Su</w:t>
            </w:r>
            <w:r>
              <w:rPr>
                <w:spacing w:val="14"/>
              </w:rPr>
              <w:t xml:space="preserve"> </w:t>
            </w:r>
            <w:r>
              <w:t>Alımları</w:t>
            </w:r>
            <w:r w:rsidR="00CC4DB9">
              <w:t xml:space="preserve"> </w:t>
            </w:r>
            <w:r>
              <w:t>IV.</w:t>
            </w:r>
            <w:r>
              <w:rPr>
                <w:spacing w:val="6"/>
              </w:rPr>
              <w:t xml:space="preserve"> </w:t>
            </w:r>
            <w:r>
              <w:t>Düzey”,</w:t>
            </w:r>
            <w:r>
              <w:rPr>
                <w:spacing w:val="7"/>
              </w:rPr>
              <w:t xml:space="preserve"> </w:t>
            </w:r>
            <w:r>
              <w:t>“Sigorta</w:t>
            </w:r>
            <w:r>
              <w:rPr>
                <w:spacing w:val="7"/>
              </w:rPr>
              <w:t xml:space="preserve"> </w:t>
            </w:r>
            <w:r>
              <w:t>Giderleri</w:t>
            </w:r>
            <w:r>
              <w:rPr>
                <w:spacing w:val="8"/>
              </w:rPr>
              <w:t xml:space="preserve"> </w:t>
            </w:r>
            <w:r>
              <w:t>IV.</w:t>
            </w:r>
            <w:r>
              <w:rPr>
                <w:spacing w:val="7"/>
              </w:rPr>
              <w:t xml:space="preserve"> </w:t>
            </w:r>
            <w:r>
              <w:t>Düzey”,</w:t>
            </w:r>
            <w:r>
              <w:rPr>
                <w:spacing w:val="11"/>
              </w:rPr>
              <w:t xml:space="preserve"> </w:t>
            </w:r>
            <w:r>
              <w:t>“Haberleşme</w:t>
            </w:r>
            <w:r>
              <w:rPr>
                <w:spacing w:val="9"/>
              </w:rPr>
              <w:t xml:space="preserve"> </w:t>
            </w:r>
            <w:r>
              <w:t>Giderleri</w:t>
            </w:r>
            <w:r>
              <w:rPr>
                <w:spacing w:val="8"/>
              </w:rPr>
              <w:t xml:space="preserve"> </w:t>
            </w:r>
            <w:r>
              <w:t>III.</w:t>
            </w:r>
            <w:r>
              <w:rPr>
                <w:spacing w:val="9"/>
              </w:rPr>
              <w:t xml:space="preserve"> </w:t>
            </w:r>
            <w:r>
              <w:t>Düzey”</w:t>
            </w:r>
            <w:r>
              <w:rPr>
                <w:spacing w:val="12"/>
              </w:rPr>
              <w:t xml:space="preserve"> </w:t>
            </w:r>
            <w:r>
              <w:t>ve</w:t>
            </w:r>
            <w:r>
              <w:rPr>
                <w:spacing w:val="7"/>
              </w:rPr>
              <w:t xml:space="preserve"> </w:t>
            </w:r>
            <w:r>
              <w:t>“Kiralar</w:t>
            </w:r>
            <w:r>
              <w:rPr>
                <w:spacing w:val="7"/>
              </w:rPr>
              <w:t xml:space="preserve"> </w:t>
            </w:r>
            <w:r>
              <w:t>III.</w:t>
            </w:r>
            <w:r>
              <w:rPr>
                <w:spacing w:val="9"/>
              </w:rPr>
              <w:t xml:space="preserve"> </w:t>
            </w:r>
            <w:r>
              <w:t>Düzey</w:t>
            </w:r>
            <w:proofErr w:type="gramStart"/>
            <w:r>
              <w:t xml:space="preserve">” </w:t>
            </w:r>
            <w:r>
              <w:rPr>
                <w:spacing w:val="20"/>
              </w:rPr>
              <w:t xml:space="preserve"> </w:t>
            </w:r>
            <w:r>
              <w:t>kalemleri</w:t>
            </w:r>
            <w:proofErr w:type="gramEnd"/>
            <w:r>
              <w:rPr>
                <w:spacing w:val="9"/>
              </w:rPr>
              <w:t xml:space="preserve"> </w:t>
            </w:r>
            <w:r>
              <w:t>ile</w:t>
            </w:r>
            <w:r w:rsidR="00CC4DB9">
              <w:t xml:space="preserve"> </w:t>
            </w:r>
            <w:r>
              <w:t xml:space="preserve">İhale veya Bakanlar Kurulu kararı ile yapılacak ödemelerle ilgili ödenek kalemlerinden başka bir kaleme aktarma yapılamaz. </w:t>
            </w:r>
          </w:p>
          <w:p w:rsidR="00CC4DB9" w:rsidRDefault="00CC4DB9" w:rsidP="00CC4DB9">
            <w:pPr>
              <w:pStyle w:val="TableParagraph"/>
              <w:jc w:val="both"/>
            </w:pPr>
            <w:r>
              <w:tab/>
              <w:t>Ancak, bu fıkra nezdinde anılan kalemler arasında aktarma yapılabilir.</w:t>
            </w:r>
          </w:p>
        </w:tc>
      </w:tr>
    </w:tbl>
    <w:p w:rsidR="00BF4CA4" w:rsidRDefault="00BF4CA4">
      <w:pPr>
        <w:spacing w:line="252" w:lineRule="exact"/>
        <w:sectPr w:rsidR="00BF4CA4">
          <w:footerReference w:type="default" r:id="rId7"/>
          <w:pgSz w:w="16840" w:h="11910" w:orient="landscape"/>
          <w:pgMar w:top="1100" w:right="1180" w:bottom="880" w:left="1100" w:header="0" w:footer="693" w:gutter="0"/>
          <w:cols w:space="720"/>
        </w:sectPr>
      </w:pPr>
    </w:p>
    <w:p w:rsidR="00BF4CA4" w:rsidRDefault="00BF4CA4">
      <w:pPr>
        <w:pStyle w:val="BodyText"/>
        <w:rPr>
          <w:sz w:val="14"/>
        </w:rPr>
      </w:pPr>
    </w:p>
    <w:tbl>
      <w:tblPr>
        <w:tblW w:w="0" w:type="auto"/>
        <w:tblInd w:w="118" w:type="dxa"/>
        <w:tblLayout w:type="fixed"/>
        <w:tblCellMar>
          <w:left w:w="0" w:type="dxa"/>
          <w:right w:w="0" w:type="dxa"/>
        </w:tblCellMar>
        <w:tblLook w:val="01E0" w:firstRow="1" w:lastRow="1" w:firstColumn="1" w:lastColumn="1" w:noHBand="0" w:noVBand="0"/>
      </w:tblPr>
      <w:tblGrid>
        <w:gridCol w:w="2698"/>
        <w:gridCol w:w="705"/>
        <w:gridCol w:w="307"/>
        <w:gridCol w:w="153"/>
        <w:gridCol w:w="475"/>
        <w:gridCol w:w="10000"/>
      </w:tblGrid>
      <w:tr w:rsidR="00BF4CA4">
        <w:trPr>
          <w:trHeight w:val="629"/>
        </w:trPr>
        <w:tc>
          <w:tcPr>
            <w:tcW w:w="2698" w:type="dxa"/>
          </w:tcPr>
          <w:p w:rsidR="00BF4CA4" w:rsidRDefault="005F2B96">
            <w:pPr>
              <w:pStyle w:val="TableParagraph"/>
              <w:spacing w:line="242" w:lineRule="auto"/>
              <w:ind w:left="200" w:right="364"/>
            </w:pPr>
            <w:r>
              <w:t>Geçen Yıllar Borçlarına Ait Ödemeler</w:t>
            </w:r>
          </w:p>
        </w:tc>
        <w:tc>
          <w:tcPr>
            <w:tcW w:w="11640" w:type="dxa"/>
            <w:gridSpan w:val="5"/>
          </w:tcPr>
          <w:p w:rsidR="00BF4CA4" w:rsidRDefault="005F2B96" w:rsidP="00113B38">
            <w:pPr>
              <w:pStyle w:val="TableParagraph"/>
              <w:spacing w:line="242" w:lineRule="auto"/>
              <w:ind w:left="120" w:right="54"/>
              <w:jc w:val="both"/>
            </w:pPr>
            <w:r>
              <w:t>8. 2018 Mali yılı sonuna kadar ödenmediği ve zaman aşımına uğramamış bulunan geçen yıllar borçlarına ait ödemeler borç konusu hizmetlerin yürütüldüğü ilgili ödeneklerden yapılır.</w:t>
            </w:r>
          </w:p>
        </w:tc>
      </w:tr>
      <w:tr w:rsidR="00BF4CA4">
        <w:trPr>
          <w:trHeight w:val="379"/>
        </w:trPr>
        <w:tc>
          <w:tcPr>
            <w:tcW w:w="2698" w:type="dxa"/>
          </w:tcPr>
          <w:p w:rsidR="00BF4CA4" w:rsidRDefault="005F2B96">
            <w:pPr>
              <w:pStyle w:val="TableParagraph"/>
              <w:spacing w:before="122" w:line="237" w:lineRule="exact"/>
              <w:ind w:left="200"/>
            </w:pPr>
            <w:r>
              <w:t>Yedek Ödenekler</w:t>
            </w:r>
          </w:p>
        </w:tc>
        <w:tc>
          <w:tcPr>
            <w:tcW w:w="11640" w:type="dxa"/>
            <w:gridSpan w:val="5"/>
          </w:tcPr>
          <w:p w:rsidR="00BF4CA4" w:rsidRDefault="005F2B96" w:rsidP="00113B38">
            <w:pPr>
              <w:pStyle w:val="TableParagraph"/>
              <w:spacing w:before="122" w:line="237" w:lineRule="exact"/>
              <w:ind w:left="120"/>
              <w:jc w:val="both"/>
            </w:pPr>
            <w:r>
              <w:t>9. Bütçenin Hazırlanması ve Uygulanmasına İlişkin Kurallar Yasasının 14’üncü maddesi kurallarına bakılmaksızın:</w:t>
            </w:r>
          </w:p>
        </w:tc>
      </w:tr>
      <w:tr w:rsidR="00BF4CA4">
        <w:trPr>
          <w:trHeight w:val="1011"/>
        </w:trPr>
        <w:tc>
          <w:tcPr>
            <w:tcW w:w="2698" w:type="dxa"/>
          </w:tcPr>
          <w:p w:rsidR="00BF4CA4" w:rsidRDefault="005F2B96">
            <w:pPr>
              <w:pStyle w:val="TableParagraph"/>
              <w:spacing w:line="248" w:lineRule="exact"/>
              <w:ind w:left="200"/>
            </w:pPr>
            <w:r>
              <w:t>16/1999</w:t>
            </w:r>
          </w:p>
        </w:tc>
        <w:tc>
          <w:tcPr>
            <w:tcW w:w="705" w:type="dxa"/>
          </w:tcPr>
          <w:p w:rsidR="00BF4CA4" w:rsidRDefault="005F2B96" w:rsidP="00113B38">
            <w:pPr>
              <w:pStyle w:val="TableParagraph"/>
              <w:spacing w:line="248" w:lineRule="exact"/>
              <w:ind w:right="67"/>
              <w:jc w:val="both"/>
            </w:pPr>
            <w:r>
              <w:t>(1)</w:t>
            </w:r>
          </w:p>
        </w:tc>
        <w:tc>
          <w:tcPr>
            <w:tcW w:w="10935" w:type="dxa"/>
            <w:gridSpan w:val="4"/>
          </w:tcPr>
          <w:p w:rsidR="00BF4CA4" w:rsidRDefault="005F2B96" w:rsidP="00113B38">
            <w:pPr>
              <w:pStyle w:val="TableParagraph"/>
              <w:ind w:left="166" w:right="202"/>
              <w:jc w:val="both"/>
            </w:pPr>
            <w:r>
              <w:t>Bütçenin hazırlanması sırasında öngörülmeyen veya yıl içerisinde meydana gelmesi muhtemel hizmetlerin karşılanabilmesi amacıyla, gerekli ve zorunlu hallerde aşağıda belirtilen yedek ödeneklerden ilgili kurum bütçesine aktarma yapmaya ve/veya yedek ödeneklerden ilgili kalemlere aktarılan ödenekler veya bunların bakiyelerini yedek</w:t>
            </w:r>
          </w:p>
          <w:p w:rsidR="00BF4CA4" w:rsidRDefault="005F2B96" w:rsidP="00113B38">
            <w:pPr>
              <w:pStyle w:val="TableParagraph"/>
              <w:spacing w:line="238" w:lineRule="exact"/>
              <w:ind w:left="166"/>
              <w:jc w:val="both"/>
            </w:pPr>
            <w:r>
              <w:t>ödenek kalemine almaya Maliye İşleriyle Görevli Bakanlık yetkilidir:</w:t>
            </w:r>
          </w:p>
        </w:tc>
      </w:tr>
      <w:tr w:rsidR="00BF4CA4">
        <w:trPr>
          <w:trHeight w:val="253"/>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935" w:type="dxa"/>
            <w:gridSpan w:val="3"/>
          </w:tcPr>
          <w:p w:rsidR="00BF4CA4" w:rsidRDefault="005F2B96">
            <w:pPr>
              <w:pStyle w:val="TableParagraph"/>
              <w:spacing w:line="234" w:lineRule="exact"/>
              <w:ind w:left="402"/>
            </w:pPr>
            <w:r>
              <w:t>(A)</w:t>
            </w:r>
          </w:p>
        </w:tc>
        <w:tc>
          <w:tcPr>
            <w:tcW w:w="10000" w:type="dxa"/>
          </w:tcPr>
          <w:p w:rsidR="00BF4CA4" w:rsidRDefault="005F2B96">
            <w:pPr>
              <w:pStyle w:val="TableParagraph"/>
              <w:tabs>
                <w:tab w:val="left" w:pos="1270"/>
              </w:tabs>
              <w:spacing w:line="234" w:lineRule="exact"/>
              <w:ind w:left="223"/>
            </w:pPr>
            <w:r>
              <w:t>09.1.1.01</w:t>
            </w:r>
            <w:r>
              <w:tab/>
              <w:t>“Personel Giderlerini Karşılama</w:t>
            </w:r>
            <w:r>
              <w:rPr>
                <w:spacing w:val="1"/>
              </w:rPr>
              <w:t xml:space="preserve"> </w:t>
            </w:r>
            <w:r>
              <w:t>Ödeneği”</w:t>
            </w:r>
          </w:p>
        </w:tc>
      </w:tr>
      <w:tr w:rsidR="00BF4CA4">
        <w:trPr>
          <w:trHeight w:val="252"/>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935" w:type="dxa"/>
            <w:gridSpan w:val="3"/>
          </w:tcPr>
          <w:p w:rsidR="00BF4CA4" w:rsidRDefault="005F2B96">
            <w:pPr>
              <w:pStyle w:val="TableParagraph"/>
              <w:spacing w:line="232" w:lineRule="exact"/>
              <w:ind w:left="406"/>
            </w:pPr>
            <w:r>
              <w:t>(B)</w:t>
            </w:r>
          </w:p>
        </w:tc>
        <w:tc>
          <w:tcPr>
            <w:tcW w:w="10000" w:type="dxa"/>
          </w:tcPr>
          <w:p w:rsidR="00BF4CA4" w:rsidRDefault="005F2B96">
            <w:pPr>
              <w:pStyle w:val="TableParagraph"/>
              <w:tabs>
                <w:tab w:val="left" w:pos="1270"/>
              </w:tabs>
              <w:spacing w:line="232" w:lineRule="exact"/>
              <w:ind w:left="223"/>
            </w:pPr>
            <w:r>
              <w:t>09.1.5.03</w:t>
            </w:r>
            <w:r>
              <w:tab/>
              <w:t>“Ek Çalışma Karşılıkları</w:t>
            </w:r>
            <w:r>
              <w:rPr>
                <w:spacing w:val="-2"/>
              </w:rPr>
              <w:t xml:space="preserve"> </w:t>
            </w:r>
            <w:r>
              <w:t>Ödeneği”</w:t>
            </w:r>
          </w:p>
        </w:tc>
      </w:tr>
      <w:tr w:rsidR="00BF4CA4">
        <w:trPr>
          <w:trHeight w:val="253"/>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935" w:type="dxa"/>
            <w:gridSpan w:val="3"/>
          </w:tcPr>
          <w:p w:rsidR="00BF4CA4" w:rsidRDefault="005F2B96">
            <w:pPr>
              <w:pStyle w:val="TableParagraph"/>
              <w:spacing w:line="233" w:lineRule="exact"/>
              <w:ind w:left="406"/>
            </w:pPr>
            <w:r>
              <w:t>(C)</w:t>
            </w:r>
          </w:p>
        </w:tc>
        <w:tc>
          <w:tcPr>
            <w:tcW w:w="10000" w:type="dxa"/>
          </w:tcPr>
          <w:p w:rsidR="00BF4CA4" w:rsidRDefault="005F2B96">
            <w:pPr>
              <w:pStyle w:val="TableParagraph"/>
              <w:tabs>
                <w:tab w:val="left" w:pos="1270"/>
              </w:tabs>
              <w:spacing w:line="233" w:lineRule="exact"/>
              <w:ind w:left="223"/>
            </w:pPr>
            <w:r>
              <w:t>09.2.1.01</w:t>
            </w:r>
            <w:r>
              <w:tab/>
              <w:t>“Cari Giderleri Karşılama</w:t>
            </w:r>
            <w:r>
              <w:rPr>
                <w:spacing w:val="-2"/>
              </w:rPr>
              <w:t xml:space="preserve"> </w:t>
            </w:r>
            <w:r>
              <w:t>Ödeneği”</w:t>
            </w:r>
          </w:p>
        </w:tc>
      </w:tr>
      <w:tr w:rsidR="00BF4CA4">
        <w:trPr>
          <w:trHeight w:val="253"/>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935" w:type="dxa"/>
            <w:gridSpan w:val="3"/>
          </w:tcPr>
          <w:p w:rsidR="00BF4CA4" w:rsidRDefault="005F2B96">
            <w:pPr>
              <w:pStyle w:val="TableParagraph"/>
              <w:spacing w:line="233" w:lineRule="exact"/>
              <w:ind w:left="406"/>
            </w:pPr>
            <w:r>
              <w:t>(Ç)</w:t>
            </w:r>
          </w:p>
        </w:tc>
        <w:tc>
          <w:tcPr>
            <w:tcW w:w="10000" w:type="dxa"/>
          </w:tcPr>
          <w:p w:rsidR="00BF4CA4" w:rsidRDefault="005F2B96">
            <w:pPr>
              <w:pStyle w:val="TableParagraph"/>
              <w:tabs>
                <w:tab w:val="left" w:pos="1270"/>
              </w:tabs>
              <w:spacing w:line="233" w:lineRule="exact"/>
              <w:ind w:left="223"/>
            </w:pPr>
            <w:r>
              <w:t>09.2.1.02</w:t>
            </w:r>
            <w:r>
              <w:tab/>
              <w:t>“Devam Eden ve Acil Yatırım Projeleri</w:t>
            </w:r>
            <w:r>
              <w:rPr>
                <w:spacing w:val="-7"/>
              </w:rPr>
              <w:t xml:space="preserve"> </w:t>
            </w:r>
            <w:r>
              <w:t>Ödeneği”</w:t>
            </w:r>
          </w:p>
        </w:tc>
      </w:tr>
      <w:tr w:rsidR="00BF4CA4">
        <w:trPr>
          <w:trHeight w:val="253"/>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935" w:type="dxa"/>
            <w:gridSpan w:val="3"/>
          </w:tcPr>
          <w:p w:rsidR="00BF4CA4" w:rsidRDefault="005F2B96">
            <w:pPr>
              <w:pStyle w:val="TableParagraph"/>
              <w:spacing w:line="233" w:lineRule="exact"/>
              <w:ind w:left="402"/>
            </w:pPr>
            <w:r>
              <w:t>(D)</w:t>
            </w:r>
          </w:p>
        </w:tc>
        <w:tc>
          <w:tcPr>
            <w:tcW w:w="10000" w:type="dxa"/>
          </w:tcPr>
          <w:p w:rsidR="00BF4CA4" w:rsidRDefault="005F2B96">
            <w:pPr>
              <w:pStyle w:val="TableParagraph"/>
              <w:tabs>
                <w:tab w:val="left" w:pos="1270"/>
              </w:tabs>
              <w:spacing w:line="233" w:lineRule="exact"/>
              <w:ind w:left="223"/>
            </w:pPr>
            <w:r>
              <w:t>09.2.1.03</w:t>
            </w:r>
            <w:r>
              <w:tab/>
              <w:t>“Bakanlıklar - Avrupa Birliğine Uyum Projesi</w:t>
            </w:r>
            <w:r>
              <w:rPr>
                <w:spacing w:val="-8"/>
              </w:rPr>
              <w:t xml:space="preserve"> </w:t>
            </w:r>
            <w:r>
              <w:t>Ödeneği”</w:t>
            </w:r>
          </w:p>
        </w:tc>
      </w:tr>
      <w:tr w:rsidR="00BF4CA4" w:rsidTr="00113B38">
        <w:trPr>
          <w:trHeight w:val="253"/>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307" w:type="dxa"/>
          </w:tcPr>
          <w:p w:rsidR="00BF4CA4" w:rsidRDefault="005F2B96">
            <w:pPr>
              <w:pStyle w:val="TableParagraph"/>
              <w:spacing w:line="233" w:lineRule="exact"/>
              <w:ind w:right="-29"/>
              <w:jc w:val="right"/>
            </w:pPr>
            <w:r>
              <w:t>(</w:t>
            </w:r>
          </w:p>
        </w:tc>
        <w:tc>
          <w:tcPr>
            <w:tcW w:w="628" w:type="dxa"/>
            <w:gridSpan w:val="2"/>
          </w:tcPr>
          <w:p w:rsidR="00BF4CA4" w:rsidRDefault="00113B38">
            <w:pPr>
              <w:pStyle w:val="TableParagraph"/>
              <w:spacing w:line="233" w:lineRule="exact"/>
              <w:ind w:left="28"/>
            </w:pPr>
            <w:r>
              <w:t xml:space="preserve"> (</w:t>
            </w:r>
            <w:r w:rsidR="005F2B96">
              <w:t>E)</w:t>
            </w:r>
          </w:p>
        </w:tc>
        <w:tc>
          <w:tcPr>
            <w:tcW w:w="10000" w:type="dxa"/>
          </w:tcPr>
          <w:p w:rsidR="00BF4CA4" w:rsidRDefault="005F2B96">
            <w:pPr>
              <w:pStyle w:val="TableParagraph"/>
              <w:tabs>
                <w:tab w:val="left" w:pos="1270"/>
              </w:tabs>
              <w:spacing w:line="233" w:lineRule="exact"/>
              <w:ind w:left="223"/>
            </w:pPr>
            <w:r>
              <w:t>09.2.1.04</w:t>
            </w:r>
            <w:r>
              <w:tab/>
              <w:t>“Elektrik Alımlarını Karşılama</w:t>
            </w:r>
            <w:r>
              <w:rPr>
                <w:spacing w:val="-6"/>
              </w:rPr>
              <w:t xml:space="preserve"> </w:t>
            </w:r>
            <w:r>
              <w:t>Ödeneği”</w:t>
            </w:r>
          </w:p>
        </w:tc>
      </w:tr>
      <w:tr w:rsidR="00BF4CA4" w:rsidTr="00113B38">
        <w:trPr>
          <w:trHeight w:val="253"/>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307" w:type="dxa"/>
          </w:tcPr>
          <w:p w:rsidR="00BF4CA4" w:rsidRDefault="005F2B96">
            <w:pPr>
              <w:pStyle w:val="TableParagraph"/>
              <w:spacing w:line="233" w:lineRule="exact"/>
              <w:ind w:right="-44"/>
              <w:jc w:val="right"/>
            </w:pPr>
            <w:r>
              <w:t>(</w:t>
            </w:r>
          </w:p>
        </w:tc>
        <w:tc>
          <w:tcPr>
            <w:tcW w:w="628" w:type="dxa"/>
            <w:gridSpan w:val="2"/>
          </w:tcPr>
          <w:p w:rsidR="00BF4CA4" w:rsidRDefault="00113B38">
            <w:pPr>
              <w:pStyle w:val="TableParagraph"/>
              <w:spacing w:line="233" w:lineRule="exact"/>
              <w:ind w:left="33"/>
            </w:pPr>
            <w:r>
              <w:t xml:space="preserve">  (</w:t>
            </w:r>
            <w:r w:rsidR="005F2B96">
              <w:t>F)</w:t>
            </w:r>
          </w:p>
        </w:tc>
        <w:tc>
          <w:tcPr>
            <w:tcW w:w="10000" w:type="dxa"/>
          </w:tcPr>
          <w:p w:rsidR="00BF4CA4" w:rsidRDefault="005F2B96">
            <w:pPr>
              <w:pStyle w:val="TableParagraph"/>
              <w:tabs>
                <w:tab w:val="left" w:pos="1270"/>
              </w:tabs>
              <w:spacing w:line="233" w:lineRule="exact"/>
              <w:ind w:left="223"/>
            </w:pPr>
            <w:r>
              <w:t>09.2.2.01</w:t>
            </w:r>
            <w:r>
              <w:tab/>
              <w:t>“Cari Transfer Giderlerini Karşılama</w:t>
            </w:r>
            <w:r>
              <w:rPr>
                <w:spacing w:val="-7"/>
              </w:rPr>
              <w:t xml:space="preserve"> </w:t>
            </w:r>
            <w:r>
              <w:t>Ödeneği”</w:t>
            </w:r>
          </w:p>
        </w:tc>
      </w:tr>
      <w:tr w:rsidR="00BF4CA4">
        <w:trPr>
          <w:trHeight w:val="253"/>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935" w:type="dxa"/>
            <w:gridSpan w:val="3"/>
          </w:tcPr>
          <w:p w:rsidR="00BF4CA4" w:rsidRDefault="005F2B96">
            <w:pPr>
              <w:pStyle w:val="TableParagraph"/>
              <w:spacing w:line="233" w:lineRule="exact"/>
              <w:ind w:left="402"/>
            </w:pPr>
            <w:r>
              <w:t>(G)</w:t>
            </w:r>
          </w:p>
        </w:tc>
        <w:tc>
          <w:tcPr>
            <w:tcW w:w="10000" w:type="dxa"/>
          </w:tcPr>
          <w:p w:rsidR="00BF4CA4" w:rsidRDefault="005F2B96">
            <w:pPr>
              <w:pStyle w:val="TableParagraph"/>
              <w:tabs>
                <w:tab w:val="left" w:pos="1270"/>
              </w:tabs>
              <w:spacing w:line="233" w:lineRule="exact"/>
              <w:ind w:left="223"/>
            </w:pPr>
            <w:r>
              <w:t>09.2.2.02</w:t>
            </w:r>
            <w:r>
              <w:tab/>
              <w:t>“KDV Ödemelerini Karşılama</w:t>
            </w:r>
            <w:r>
              <w:rPr>
                <w:spacing w:val="-2"/>
              </w:rPr>
              <w:t xml:space="preserve"> </w:t>
            </w:r>
            <w:r>
              <w:t>Ödeneği”</w:t>
            </w:r>
          </w:p>
        </w:tc>
      </w:tr>
      <w:tr w:rsidR="00BF4CA4">
        <w:trPr>
          <w:trHeight w:val="252"/>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935" w:type="dxa"/>
            <w:gridSpan w:val="3"/>
          </w:tcPr>
          <w:p w:rsidR="00BF4CA4" w:rsidRDefault="005F2B96">
            <w:pPr>
              <w:pStyle w:val="TableParagraph"/>
              <w:spacing w:line="232" w:lineRule="exact"/>
              <w:ind w:left="402"/>
            </w:pPr>
            <w:r>
              <w:t>(H)</w:t>
            </w:r>
          </w:p>
        </w:tc>
        <w:tc>
          <w:tcPr>
            <w:tcW w:w="10000" w:type="dxa"/>
          </w:tcPr>
          <w:p w:rsidR="00BF4CA4" w:rsidRDefault="005F2B96">
            <w:pPr>
              <w:pStyle w:val="TableParagraph"/>
              <w:tabs>
                <w:tab w:val="left" w:pos="1270"/>
              </w:tabs>
              <w:spacing w:line="232" w:lineRule="exact"/>
              <w:ind w:left="223"/>
            </w:pPr>
            <w:r>
              <w:t>09.2.2.03</w:t>
            </w:r>
            <w:r>
              <w:tab/>
              <w:t>“Kamulaştırma Giderlerini Karşılama</w:t>
            </w:r>
            <w:r>
              <w:rPr>
                <w:spacing w:val="-3"/>
              </w:rPr>
              <w:t xml:space="preserve"> </w:t>
            </w:r>
            <w:r>
              <w:t>Ödeneği”</w:t>
            </w:r>
          </w:p>
        </w:tc>
      </w:tr>
      <w:tr w:rsidR="00BF4CA4">
        <w:trPr>
          <w:trHeight w:val="253"/>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460" w:type="dxa"/>
            <w:gridSpan w:val="2"/>
          </w:tcPr>
          <w:p w:rsidR="00BF4CA4" w:rsidRDefault="00BF4CA4">
            <w:pPr>
              <w:pStyle w:val="TableParagraph"/>
              <w:rPr>
                <w:sz w:val="18"/>
              </w:rPr>
            </w:pPr>
          </w:p>
        </w:tc>
        <w:tc>
          <w:tcPr>
            <w:tcW w:w="475" w:type="dxa"/>
          </w:tcPr>
          <w:p w:rsidR="00BF4CA4" w:rsidRDefault="005F2B96">
            <w:pPr>
              <w:pStyle w:val="TableParagraph"/>
              <w:spacing w:line="233" w:lineRule="exact"/>
              <w:ind w:left="-17"/>
            </w:pPr>
            <w:r>
              <w:t>(I)</w:t>
            </w:r>
          </w:p>
        </w:tc>
        <w:tc>
          <w:tcPr>
            <w:tcW w:w="10000" w:type="dxa"/>
          </w:tcPr>
          <w:p w:rsidR="00BF4CA4" w:rsidRDefault="005F2B96">
            <w:pPr>
              <w:pStyle w:val="TableParagraph"/>
              <w:tabs>
                <w:tab w:val="left" w:pos="1270"/>
              </w:tabs>
              <w:spacing w:line="233" w:lineRule="exact"/>
              <w:ind w:left="223"/>
            </w:pPr>
            <w:r>
              <w:t>09.3.1.01</w:t>
            </w:r>
            <w:r>
              <w:tab/>
              <w:t>“Kur Farklarını Karşılama</w:t>
            </w:r>
            <w:r>
              <w:rPr>
                <w:spacing w:val="-3"/>
              </w:rPr>
              <w:t xml:space="preserve"> </w:t>
            </w:r>
            <w:r>
              <w:t>Ödeneği”</w:t>
            </w:r>
          </w:p>
        </w:tc>
      </w:tr>
      <w:tr w:rsidR="00BF4CA4">
        <w:trPr>
          <w:trHeight w:val="253"/>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460" w:type="dxa"/>
            <w:gridSpan w:val="2"/>
          </w:tcPr>
          <w:p w:rsidR="00BF4CA4" w:rsidRDefault="00BF4CA4">
            <w:pPr>
              <w:pStyle w:val="TableParagraph"/>
              <w:rPr>
                <w:sz w:val="18"/>
              </w:rPr>
            </w:pPr>
          </w:p>
        </w:tc>
        <w:tc>
          <w:tcPr>
            <w:tcW w:w="475" w:type="dxa"/>
          </w:tcPr>
          <w:p w:rsidR="00BF4CA4" w:rsidRDefault="005F2B96">
            <w:pPr>
              <w:pStyle w:val="TableParagraph"/>
              <w:spacing w:line="233" w:lineRule="exact"/>
              <w:ind w:left="-17"/>
            </w:pPr>
            <w:r>
              <w:t>(İ)</w:t>
            </w:r>
          </w:p>
        </w:tc>
        <w:tc>
          <w:tcPr>
            <w:tcW w:w="10000" w:type="dxa"/>
          </w:tcPr>
          <w:p w:rsidR="00BF4CA4" w:rsidRDefault="005F2B96">
            <w:pPr>
              <w:pStyle w:val="TableParagraph"/>
              <w:tabs>
                <w:tab w:val="left" w:pos="1270"/>
              </w:tabs>
              <w:spacing w:line="233" w:lineRule="exact"/>
              <w:ind w:left="223"/>
            </w:pPr>
            <w:r>
              <w:t>09.4.1.01</w:t>
            </w:r>
            <w:r>
              <w:tab/>
              <w:t>“Öngörülmeyen Giderler</w:t>
            </w:r>
            <w:r>
              <w:rPr>
                <w:spacing w:val="-1"/>
              </w:rPr>
              <w:t xml:space="preserve"> </w:t>
            </w:r>
            <w:r>
              <w:t>Ödeneği”</w:t>
            </w:r>
          </w:p>
        </w:tc>
      </w:tr>
      <w:tr w:rsidR="00BF4CA4">
        <w:trPr>
          <w:trHeight w:val="253"/>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460" w:type="dxa"/>
            <w:gridSpan w:val="2"/>
          </w:tcPr>
          <w:p w:rsidR="00BF4CA4" w:rsidRDefault="00BF4CA4">
            <w:pPr>
              <w:pStyle w:val="TableParagraph"/>
              <w:rPr>
                <w:sz w:val="18"/>
              </w:rPr>
            </w:pPr>
          </w:p>
        </w:tc>
        <w:tc>
          <w:tcPr>
            <w:tcW w:w="475" w:type="dxa"/>
          </w:tcPr>
          <w:p w:rsidR="00BF4CA4" w:rsidRDefault="005F2B96">
            <w:pPr>
              <w:pStyle w:val="TableParagraph"/>
              <w:spacing w:line="233" w:lineRule="exact"/>
              <w:ind w:left="-22"/>
            </w:pPr>
            <w:r>
              <w:t>(J)</w:t>
            </w:r>
          </w:p>
        </w:tc>
        <w:tc>
          <w:tcPr>
            <w:tcW w:w="10000" w:type="dxa"/>
          </w:tcPr>
          <w:p w:rsidR="00BF4CA4" w:rsidRDefault="005F2B96">
            <w:pPr>
              <w:pStyle w:val="TableParagraph"/>
              <w:tabs>
                <w:tab w:val="left" w:pos="1270"/>
              </w:tabs>
              <w:spacing w:line="233" w:lineRule="exact"/>
              <w:ind w:left="223"/>
            </w:pPr>
            <w:r>
              <w:t>09.4.1.02</w:t>
            </w:r>
            <w:r>
              <w:tab/>
              <w:t>“Seçim ve Sayım Giderleri</w:t>
            </w:r>
            <w:r>
              <w:rPr>
                <w:spacing w:val="-7"/>
              </w:rPr>
              <w:t xml:space="preserve"> </w:t>
            </w:r>
            <w:r>
              <w:t>Ödeneği”</w:t>
            </w:r>
          </w:p>
        </w:tc>
      </w:tr>
      <w:tr w:rsidR="00BF4CA4">
        <w:trPr>
          <w:trHeight w:val="253"/>
        </w:trPr>
        <w:tc>
          <w:tcPr>
            <w:tcW w:w="2698" w:type="dxa"/>
          </w:tcPr>
          <w:p w:rsidR="00BF4CA4" w:rsidRDefault="00BF4CA4">
            <w:pPr>
              <w:pStyle w:val="TableParagraph"/>
              <w:rPr>
                <w:sz w:val="18"/>
              </w:rPr>
            </w:pPr>
          </w:p>
        </w:tc>
        <w:tc>
          <w:tcPr>
            <w:tcW w:w="705" w:type="dxa"/>
          </w:tcPr>
          <w:p w:rsidR="00BF4CA4" w:rsidRDefault="00BF4CA4">
            <w:pPr>
              <w:pStyle w:val="TableParagraph"/>
              <w:rPr>
                <w:sz w:val="18"/>
              </w:rPr>
            </w:pPr>
          </w:p>
        </w:tc>
        <w:tc>
          <w:tcPr>
            <w:tcW w:w="935" w:type="dxa"/>
            <w:gridSpan w:val="3"/>
          </w:tcPr>
          <w:p w:rsidR="00BF4CA4" w:rsidRDefault="005F2B96">
            <w:pPr>
              <w:pStyle w:val="TableParagraph"/>
              <w:spacing w:line="233" w:lineRule="exact"/>
              <w:ind w:left="402"/>
            </w:pPr>
            <w:r>
              <w:t>(K)</w:t>
            </w:r>
          </w:p>
        </w:tc>
        <w:tc>
          <w:tcPr>
            <w:tcW w:w="10000" w:type="dxa"/>
          </w:tcPr>
          <w:p w:rsidR="00BF4CA4" w:rsidRDefault="005F2B96">
            <w:pPr>
              <w:pStyle w:val="TableParagraph"/>
              <w:tabs>
                <w:tab w:val="left" w:pos="1270"/>
              </w:tabs>
              <w:spacing w:line="233" w:lineRule="exact"/>
              <w:ind w:left="223"/>
            </w:pPr>
            <w:r>
              <w:t>09.5.1.01</w:t>
            </w:r>
            <w:r>
              <w:tab/>
              <w:t>“Doğal Afet Giderlerini Karşılama</w:t>
            </w:r>
            <w:r>
              <w:rPr>
                <w:spacing w:val="-1"/>
              </w:rPr>
              <w:t xml:space="preserve"> </w:t>
            </w:r>
            <w:r>
              <w:t>Ödeneği”</w:t>
            </w:r>
          </w:p>
        </w:tc>
      </w:tr>
      <w:tr w:rsidR="00BF4CA4">
        <w:trPr>
          <w:trHeight w:val="631"/>
        </w:trPr>
        <w:tc>
          <w:tcPr>
            <w:tcW w:w="2698" w:type="dxa"/>
          </w:tcPr>
          <w:p w:rsidR="00BF4CA4" w:rsidRDefault="00BF4CA4">
            <w:pPr>
              <w:pStyle w:val="TableParagraph"/>
            </w:pPr>
          </w:p>
        </w:tc>
        <w:tc>
          <w:tcPr>
            <w:tcW w:w="705" w:type="dxa"/>
          </w:tcPr>
          <w:p w:rsidR="00BF4CA4" w:rsidRDefault="005F2B96">
            <w:pPr>
              <w:pStyle w:val="TableParagraph"/>
              <w:spacing w:line="248" w:lineRule="exact"/>
              <w:ind w:right="67"/>
              <w:jc w:val="right"/>
            </w:pPr>
            <w:r>
              <w:t>(2)</w:t>
            </w:r>
          </w:p>
        </w:tc>
        <w:tc>
          <w:tcPr>
            <w:tcW w:w="10935" w:type="dxa"/>
            <w:gridSpan w:val="4"/>
          </w:tcPr>
          <w:p w:rsidR="00BF4CA4" w:rsidRDefault="005F2B96" w:rsidP="00113B38">
            <w:pPr>
              <w:pStyle w:val="TableParagraph"/>
              <w:ind w:left="166"/>
              <w:jc w:val="both"/>
            </w:pPr>
            <w:r>
              <w:t>Bakanlık, bağlı daire ve bağımsız dairelerin bütçelerinde öngörülen ve yıl içerisinde kullanılmayan ödenek veya bakiyelerini yıl içinde yedek ödenek kalemine almaya Maliye İşleriyle Görevli Bakanlık yetkilidir.</w:t>
            </w:r>
          </w:p>
        </w:tc>
      </w:tr>
      <w:tr w:rsidR="00BF4CA4">
        <w:trPr>
          <w:trHeight w:val="885"/>
        </w:trPr>
        <w:tc>
          <w:tcPr>
            <w:tcW w:w="2698" w:type="dxa"/>
          </w:tcPr>
          <w:p w:rsidR="00BF4CA4" w:rsidRDefault="005F2B96">
            <w:pPr>
              <w:pStyle w:val="TableParagraph"/>
              <w:spacing w:before="122"/>
              <w:ind w:left="200"/>
            </w:pPr>
            <w:r>
              <w:t>T.C. Yardımları ve</w:t>
            </w:r>
          </w:p>
          <w:p w:rsidR="00BF4CA4" w:rsidRDefault="005F2B96">
            <w:pPr>
              <w:pStyle w:val="TableParagraph"/>
              <w:spacing w:before="5" w:line="252" w:lineRule="exact"/>
              <w:ind w:left="200" w:right="101"/>
            </w:pPr>
            <w:r>
              <w:t>Krediler ile Finanse Edilen Transferler ve Yatırım</w:t>
            </w:r>
          </w:p>
        </w:tc>
        <w:tc>
          <w:tcPr>
            <w:tcW w:w="705" w:type="dxa"/>
          </w:tcPr>
          <w:p w:rsidR="00BF4CA4" w:rsidRDefault="005F2B96">
            <w:pPr>
              <w:pStyle w:val="TableParagraph"/>
              <w:spacing w:before="122"/>
              <w:ind w:left="178"/>
            </w:pPr>
            <w:r>
              <w:t>10.</w:t>
            </w:r>
          </w:p>
        </w:tc>
        <w:tc>
          <w:tcPr>
            <w:tcW w:w="460" w:type="dxa"/>
            <w:gridSpan w:val="2"/>
          </w:tcPr>
          <w:p w:rsidR="00BF4CA4" w:rsidRDefault="005F2B96">
            <w:pPr>
              <w:pStyle w:val="TableParagraph"/>
              <w:spacing w:before="122"/>
              <w:ind w:left="68"/>
            </w:pPr>
            <w:r>
              <w:t>(1)</w:t>
            </w:r>
          </w:p>
        </w:tc>
        <w:tc>
          <w:tcPr>
            <w:tcW w:w="10475" w:type="dxa"/>
            <w:gridSpan w:val="2"/>
          </w:tcPr>
          <w:p w:rsidR="00BF4CA4" w:rsidRDefault="005F2B96" w:rsidP="00113B38">
            <w:pPr>
              <w:pStyle w:val="TableParagraph"/>
              <w:spacing w:before="122"/>
              <w:ind w:left="131"/>
              <w:jc w:val="both"/>
            </w:pPr>
            <w:r>
              <w:t>Türkiye Cumhuriyeti Yardımları ile finanse edilecek yatırım projeleri için, ilgili Bakanlıklarca hazırlanacak Proje</w:t>
            </w:r>
          </w:p>
          <w:p w:rsidR="00BF4CA4" w:rsidRDefault="005F2B96" w:rsidP="00113B38">
            <w:pPr>
              <w:pStyle w:val="TableParagraph"/>
              <w:spacing w:before="5" w:line="252" w:lineRule="exact"/>
              <w:ind w:left="131" w:right="191"/>
              <w:jc w:val="both"/>
            </w:pPr>
            <w:r>
              <w:t>Termin Planları, Maliye İşleriyle Görevli Bakanlıkça değerlendirilerek, TC Kalkınma ve Ekonomik İşbirliği Ofisine iletilir.</w:t>
            </w:r>
          </w:p>
        </w:tc>
      </w:tr>
      <w:tr w:rsidR="00BF4CA4">
        <w:trPr>
          <w:trHeight w:val="1265"/>
        </w:trPr>
        <w:tc>
          <w:tcPr>
            <w:tcW w:w="2698" w:type="dxa"/>
          </w:tcPr>
          <w:p w:rsidR="00BF4CA4" w:rsidRDefault="005F2B96">
            <w:pPr>
              <w:pStyle w:val="TableParagraph"/>
              <w:spacing w:line="242" w:lineRule="auto"/>
              <w:ind w:left="200" w:right="364"/>
            </w:pPr>
            <w:r>
              <w:t>Projelerinin Uygulama Esasları</w:t>
            </w:r>
          </w:p>
        </w:tc>
        <w:tc>
          <w:tcPr>
            <w:tcW w:w="705" w:type="dxa"/>
          </w:tcPr>
          <w:p w:rsidR="00BF4CA4" w:rsidRDefault="00BF4CA4">
            <w:pPr>
              <w:pStyle w:val="TableParagraph"/>
            </w:pPr>
          </w:p>
        </w:tc>
        <w:tc>
          <w:tcPr>
            <w:tcW w:w="460" w:type="dxa"/>
            <w:gridSpan w:val="2"/>
          </w:tcPr>
          <w:p w:rsidR="00BF4CA4" w:rsidRDefault="005F2B96">
            <w:pPr>
              <w:pStyle w:val="TableParagraph"/>
              <w:spacing w:line="248" w:lineRule="exact"/>
              <w:ind w:left="68"/>
            </w:pPr>
            <w:r>
              <w:t>(2)</w:t>
            </w:r>
          </w:p>
        </w:tc>
        <w:tc>
          <w:tcPr>
            <w:tcW w:w="10475" w:type="dxa"/>
            <w:gridSpan w:val="2"/>
          </w:tcPr>
          <w:p w:rsidR="00BF4CA4" w:rsidRDefault="005F2B96" w:rsidP="00113B38">
            <w:pPr>
              <w:pStyle w:val="TableParagraph"/>
              <w:ind w:left="131" w:right="203"/>
              <w:jc w:val="both"/>
            </w:pPr>
            <w:r>
              <w:t>Türkiye Cumhuriyeti kredi ve yardımları ile finanse edilmesi öngörülen harcamalara ilişkin olarak; Bütçe kalemleri arasında aktarma yapılmasına, finansmanı ayrıca sağlanan veya önceki yıllardan devreden miktarların mevcut</w:t>
            </w:r>
            <w:r>
              <w:rPr>
                <w:spacing w:val="7"/>
              </w:rPr>
              <w:t xml:space="preserve"> </w:t>
            </w:r>
            <w:r>
              <w:t>bütçe</w:t>
            </w:r>
            <w:r>
              <w:rPr>
                <w:spacing w:val="7"/>
              </w:rPr>
              <w:t xml:space="preserve"> </w:t>
            </w:r>
            <w:r>
              <w:t>ödeneklerine</w:t>
            </w:r>
            <w:r>
              <w:rPr>
                <w:spacing w:val="7"/>
              </w:rPr>
              <w:t xml:space="preserve"> </w:t>
            </w:r>
            <w:r>
              <w:t>eklenmesine</w:t>
            </w:r>
            <w:r>
              <w:rPr>
                <w:spacing w:val="4"/>
              </w:rPr>
              <w:t xml:space="preserve"> </w:t>
            </w:r>
            <w:r>
              <w:t>veya</w:t>
            </w:r>
            <w:r>
              <w:rPr>
                <w:spacing w:val="8"/>
              </w:rPr>
              <w:t xml:space="preserve"> </w:t>
            </w:r>
            <w:r>
              <w:t>yeni</w:t>
            </w:r>
            <w:r>
              <w:rPr>
                <w:spacing w:val="7"/>
              </w:rPr>
              <w:t xml:space="preserve"> </w:t>
            </w:r>
            <w:r>
              <w:t>bütçe</w:t>
            </w:r>
            <w:r>
              <w:rPr>
                <w:spacing w:val="7"/>
              </w:rPr>
              <w:t xml:space="preserve"> </w:t>
            </w:r>
            <w:r>
              <w:t>kalemleri</w:t>
            </w:r>
            <w:r>
              <w:rPr>
                <w:spacing w:val="7"/>
              </w:rPr>
              <w:t xml:space="preserve"> </w:t>
            </w:r>
            <w:r>
              <w:t>açılmasına,</w:t>
            </w:r>
            <w:r>
              <w:rPr>
                <w:spacing w:val="7"/>
              </w:rPr>
              <w:t xml:space="preserve"> </w:t>
            </w:r>
            <w:r>
              <w:t>bir</w:t>
            </w:r>
            <w:r>
              <w:rPr>
                <w:spacing w:val="8"/>
              </w:rPr>
              <w:t xml:space="preserve"> </w:t>
            </w:r>
            <w:r>
              <w:t>kısım</w:t>
            </w:r>
            <w:r>
              <w:rPr>
                <w:spacing w:val="2"/>
              </w:rPr>
              <w:t xml:space="preserve"> </w:t>
            </w:r>
            <w:r>
              <w:t>bütçe</w:t>
            </w:r>
            <w:r>
              <w:rPr>
                <w:spacing w:val="4"/>
              </w:rPr>
              <w:t xml:space="preserve"> </w:t>
            </w:r>
            <w:r>
              <w:t>tertiplerinin</w:t>
            </w:r>
          </w:p>
          <w:p w:rsidR="00BF4CA4" w:rsidRDefault="005F2B96" w:rsidP="00113B38">
            <w:pPr>
              <w:pStyle w:val="TableParagraph"/>
              <w:spacing w:before="1" w:line="252" w:lineRule="exact"/>
              <w:ind w:left="131" w:right="204"/>
              <w:jc w:val="both"/>
            </w:pPr>
            <w:proofErr w:type="gramStart"/>
            <w:r>
              <w:t>kaldırılmasına</w:t>
            </w:r>
            <w:proofErr w:type="gramEnd"/>
            <w:r>
              <w:t>, TC Kalkınma ve Ekonomik İşbirliği Ofisinin olumlu görüşünün alınması kaydı ile Maliye İşleriyle Görevli Bakanlık yetkilidir.</w:t>
            </w:r>
          </w:p>
        </w:tc>
      </w:tr>
      <w:tr w:rsidR="00BF4CA4">
        <w:trPr>
          <w:trHeight w:val="754"/>
        </w:trPr>
        <w:tc>
          <w:tcPr>
            <w:tcW w:w="2698" w:type="dxa"/>
          </w:tcPr>
          <w:p w:rsidR="00BF4CA4" w:rsidRDefault="00BF4CA4">
            <w:pPr>
              <w:pStyle w:val="TableParagraph"/>
            </w:pPr>
          </w:p>
        </w:tc>
        <w:tc>
          <w:tcPr>
            <w:tcW w:w="705" w:type="dxa"/>
          </w:tcPr>
          <w:p w:rsidR="00BF4CA4" w:rsidRDefault="00BF4CA4">
            <w:pPr>
              <w:pStyle w:val="TableParagraph"/>
            </w:pPr>
          </w:p>
        </w:tc>
        <w:tc>
          <w:tcPr>
            <w:tcW w:w="460" w:type="dxa"/>
            <w:gridSpan w:val="2"/>
          </w:tcPr>
          <w:p w:rsidR="00BF4CA4" w:rsidRDefault="005F2B96">
            <w:pPr>
              <w:pStyle w:val="TableParagraph"/>
              <w:spacing w:line="248" w:lineRule="exact"/>
              <w:ind w:left="68"/>
            </w:pPr>
            <w:r>
              <w:t>(3)</w:t>
            </w:r>
          </w:p>
        </w:tc>
        <w:tc>
          <w:tcPr>
            <w:tcW w:w="10475" w:type="dxa"/>
            <w:gridSpan w:val="2"/>
          </w:tcPr>
          <w:p w:rsidR="00BF4CA4" w:rsidRDefault="005F2B96" w:rsidP="00113B38">
            <w:pPr>
              <w:pStyle w:val="TableParagraph"/>
              <w:spacing w:line="248" w:lineRule="exact"/>
              <w:ind w:left="131"/>
              <w:jc w:val="both"/>
            </w:pPr>
            <w:r>
              <w:t>Sözkonusu yatırım projeleri ve transfer kalemlerinde yer alan ödenekler, iki ülke arasında imzalanan protokoller</w:t>
            </w:r>
          </w:p>
          <w:p w:rsidR="00BF4CA4" w:rsidRDefault="005F2B96" w:rsidP="00113B38">
            <w:pPr>
              <w:pStyle w:val="TableParagraph"/>
              <w:spacing w:before="5" w:line="252" w:lineRule="exact"/>
              <w:ind w:left="131"/>
              <w:jc w:val="both"/>
            </w:pPr>
            <w:proofErr w:type="gramStart"/>
            <w:r>
              <w:t>veya</w:t>
            </w:r>
            <w:proofErr w:type="gramEnd"/>
            <w:r>
              <w:t xml:space="preserve"> bunlarda yeterli açıklık bulunmayan hallerde de TC Kalkınma ve Ekonomik İşbirliği Ofisinin olumlu görüşü alınarak Bakanlar Kurulunca belirlenecek esas, usül ve amaçlarda kullanılır.</w:t>
            </w:r>
          </w:p>
        </w:tc>
      </w:tr>
    </w:tbl>
    <w:p w:rsidR="00BF4CA4" w:rsidRDefault="00BF4CA4">
      <w:pPr>
        <w:spacing w:line="252" w:lineRule="exact"/>
        <w:sectPr w:rsidR="00BF4CA4">
          <w:pgSz w:w="16840" w:h="11910" w:orient="landscape"/>
          <w:pgMar w:top="1100" w:right="1180" w:bottom="880" w:left="1100" w:header="0" w:footer="693"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2658"/>
        <w:gridCol w:w="651"/>
        <w:gridCol w:w="552"/>
        <w:gridCol w:w="10473"/>
      </w:tblGrid>
      <w:tr w:rsidR="00BF4CA4">
        <w:trPr>
          <w:trHeight w:val="1231"/>
        </w:trPr>
        <w:tc>
          <w:tcPr>
            <w:tcW w:w="2658" w:type="dxa"/>
          </w:tcPr>
          <w:p w:rsidR="00BF4CA4" w:rsidRDefault="00BF4CA4">
            <w:pPr>
              <w:pStyle w:val="TableParagraph"/>
            </w:pPr>
          </w:p>
        </w:tc>
        <w:tc>
          <w:tcPr>
            <w:tcW w:w="651" w:type="dxa"/>
          </w:tcPr>
          <w:p w:rsidR="00BF4CA4" w:rsidRDefault="00BF4CA4" w:rsidP="00113B38">
            <w:pPr>
              <w:pStyle w:val="TableParagraph"/>
              <w:jc w:val="both"/>
            </w:pPr>
          </w:p>
        </w:tc>
        <w:tc>
          <w:tcPr>
            <w:tcW w:w="552" w:type="dxa"/>
          </w:tcPr>
          <w:p w:rsidR="00BF4CA4" w:rsidRDefault="005F2B96" w:rsidP="00113B38">
            <w:pPr>
              <w:pStyle w:val="TableParagraph"/>
              <w:spacing w:line="244" w:lineRule="exact"/>
              <w:ind w:left="162"/>
              <w:jc w:val="both"/>
            </w:pPr>
            <w:r>
              <w:t>(4)</w:t>
            </w:r>
          </w:p>
        </w:tc>
        <w:tc>
          <w:tcPr>
            <w:tcW w:w="10473" w:type="dxa"/>
          </w:tcPr>
          <w:p w:rsidR="00BF4CA4" w:rsidRDefault="005F2B96" w:rsidP="00113B38">
            <w:pPr>
              <w:pStyle w:val="TableParagraph"/>
              <w:ind w:left="133" w:right="198"/>
              <w:jc w:val="both"/>
            </w:pPr>
            <w:r>
              <w:t>Türkiye Cumhuriyeti Kaynaklı olarak çeşitli kesimlere kredi olarak kullandırılan miktarlardan sağlanan kredi geri dönüşleri (faizleri dahil) Merkez Bankasında açılacak hesaplarda toplanır. Bu miktarlar da yukarıdaki (2)’nci fıkrada belirtilen usüller çerçevesinde bütçeye gelir, ödenek kaydedilir ve TC Kalkınma ve Ekonomik İşbirliği Ofisinin olumlu görüşü alınarak Bakanlar Kurulunca belirlenecek esas, usül ve amaçlarda kullanılır.</w:t>
            </w:r>
          </w:p>
        </w:tc>
      </w:tr>
      <w:tr w:rsidR="00BF4CA4">
        <w:trPr>
          <w:trHeight w:val="1362"/>
        </w:trPr>
        <w:tc>
          <w:tcPr>
            <w:tcW w:w="2658" w:type="dxa"/>
          </w:tcPr>
          <w:p w:rsidR="00BF4CA4" w:rsidRDefault="00BF4CA4">
            <w:pPr>
              <w:pStyle w:val="TableParagraph"/>
              <w:spacing w:before="1"/>
              <w:rPr>
                <w:sz w:val="19"/>
              </w:rPr>
            </w:pPr>
          </w:p>
          <w:p w:rsidR="00BF4CA4" w:rsidRDefault="005F2B96">
            <w:pPr>
              <w:pStyle w:val="TableParagraph"/>
              <w:ind w:left="200" w:right="770"/>
            </w:pPr>
            <w:r>
              <w:t>Mahalli Projelerin Uygulama Esasları</w:t>
            </w:r>
          </w:p>
        </w:tc>
        <w:tc>
          <w:tcPr>
            <w:tcW w:w="11676" w:type="dxa"/>
            <w:gridSpan w:val="3"/>
          </w:tcPr>
          <w:p w:rsidR="00BF4CA4" w:rsidRDefault="00BF4CA4" w:rsidP="00113B38">
            <w:pPr>
              <w:pStyle w:val="TableParagraph"/>
              <w:spacing w:before="1"/>
              <w:jc w:val="both"/>
              <w:rPr>
                <w:sz w:val="19"/>
              </w:rPr>
            </w:pPr>
          </w:p>
          <w:p w:rsidR="00BF4CA4" w:rsidRDefault="005F2B96" w:rsidP="00113B38">
            <w:pPr>
              <w:pStyle w:val="TableParagraph"/>
              <w:ind w:left="160" w:right="148"/>
              <w:jc w:val="both"/>
            </w:pPr>
            <w:r>
              <w:t>11. Mahalli Proje ödeneklerinden cari nitelikli ödenek kalemlerine, yıl sonu kesin hesap işlemleri hariç olmak üzere hiçbir şekilde aktarma yapılamaz.</w:t>
            </w:r>
          </w:p>
          <w:p w:rsidR="00BF4CA4" w:rsidRDefault="005F2B96" w:rsidP="00113B38">
            <w:pPr>
              <w:pStyle w:val="TableParagraph"/>
              <w:ind w:left="160" w:right="148" w:firstLine="708"/>
              <w:jc w:val="both"/>
            </w:pPr>
            <w:r>
              <w:t>Ancak Mahalli Projelerin uygulama seyrine göre projeler arası aktarma yapılmasına, yeni projelerin mevcut projelere eklenmesine Maliye İşleriyle Görevli Bakanlık yetkilidir.</w:t>
            </w:r>
          </w:p>
        </w:tc>
      </w:tr>
      <w:tr w:rsidR="00BF4CA4">
        <w:trPr>
          <w:trHeight w:val="1265"/>
        </w:trPr>
        <w:tc>
          <w:tcPr>
            <w:tcW w:w="2658" w:type="dxa"/>
          </w:tcPr>
          <w:p w:rsidR="00BF4CA4" w:rsidRDefault="005F2B96">
            <w:pPr>
              <w:pStyle w:val="TableParagraph"/>
              <w:spacing w:before="122"/>
              <w:ind w:left="200"/>
            </w:pPr>
            <w:r>
              <w:t>Önceki Yıllardan</w:t>
            </w:r>
          </w:p>
          <w:p w:rsidR="00BF4CA4" w:rsidRDefault="005F2B96">
            <w:pPr>
              <w:pStyle w:val="TableParagraph"/>
              <w:spacing w:before="2"/>
              <w:ind w:left="200" w:right="140"/>
            </w:pPr>
            <w:r>
              <w:t>Mükellefiyet Altına Giren Harcama Miktarlarının Kullandırılması</w:t>
            </w:r>
          </w:p>
        </w:tc>
        <w:tc>
          <w:tcPr>
            <w:tcW w:w="11676" w:type="dxa"/>
            <w:gridSpan w:val="3"/>
          </w:tcPr>
          <w:p w:rsidR="00BF4CA4" w:rsidRDefault="005F2B96">
            <w:pPr>
              <w:pStyle w:val="TableParagraph"/>
              <w:spacing w:before="122"/>
              <w:ind w:left="160" w:right="196"/>
              <w:jc w:val="both"/>
            </w:pPr>
            <w:r>
              <w:t>12. Finansmanı Fon ve Döner Sermaye Gelirlerinden sağlanıp, önceki yıllardan mükellefiyet altına girilen ve 2019 Mali yılında devam edecek harcama miktarları kadar gelirin emanete alınması ve bu miktarların söz konusu mükellefiyetler için kullandırılmasına Maliye İşleriyle Görevli Bakanlık yetkilidir.</w:t>
            </w:r>
          </w:p>
        </w:tc>
      </w:tr>
      <w:tr w:rsidR="00BF4CA4">
        <w:trPr>
          <w:trHeight w:val="1898"/>
        </w:trPr>
        <w:tc>
          <w:tcPr>
            <w:tcW w:w="2658" w:type="dxa"/>
          </w:tcPr>
          <w:p w:rsidR="00BF4CA4" w:rsidRDefault="005F2B96">
            <w:pPr>
              <w:pStyle w:val="TableParagraph"/>
              <w:spacing w:before="122"/>
              <w:ind w:left="200" w:right="543"/>
              <w:jc w:val="both"/>
            </w:pPr>
            <w:r>
              <w:t>Ödenek Kullanımının Harcama Programına Bağlanması</w:t>
            </w:r>
          </w:p>
        </w:tc>
        <w:tc>
          <w:tcPr>
            <w:tcW w:w="651" w:type="dxa"/>
          </w:tcPr>
          <w:p w:rsidR="00BF4CA4" w:rsidRDefault="005F2B96">
            <w:pPr>
              <w:pStyle w:val="TableParagraph"/>
              <w:spacing w:before="122"/>
              <w:ind w:left="247"/>
            </w:pPr>
            <w:r>
              <w:t>13.</w:t>
            </w:r>
          </w:p>
        </w:tc>
        <w:tc>
          <w:tcPr>
            <w:tcW w:w="552" w:type="dxa"/>
          </w:tcPr>
          <w:p w:rsidR="00BF4CA4" w:rsidRDefault="005F2B96">
            <w:pPr>
              <w:pStyle w:val="TableParagraph"/>
              <w:spacing w:before="122"/>
              <w:ind w:left="128"/>
            </w:pPr>
            <w:r>
              <w:t>(1)</w:t>
            </w:r>
          </w:p>
        </w:tc>
        <w:tc>
          <w:tcPr>
            <w:tcW w:w="10473" w:type="dxa"/>
          </w:tcPr>
          <w:p w:rsidR="00BF4CA4" w:rsidRDefault="005F2B96">
            <w:pPr>
              <w:pStyle w:val="TableParagraph"/>
              <w:spacing w:before="122"/>
              <w:ind w:left="133" w:right="195"/>
              <w:jc w:val="both"/>
            </w:pPr>
            <w:r>
              <w:t>Bu Yasaya Ek’li “A” Ödenekler Cetvelindeki Ödenekler, Maliye İşleriyle Görevli Bakanlıkça belirlenecek ilkeler ve serbest bırakma oranları dahilinde kullanılır. Bakanlık ve bağlı birimleri ile kurumların yıl içerisinde gerçekleştirecekleri hizmet ve faaliyetler için bütçelerinde yer alan ödeneklerin kullanımının önceden planlanabilmesi amacı ile ödenek kullanımının ayrıntılı bir harcama programına bağlanması Maliye İşleriyle Görevli Bakanlık tarafından istenebilir. Maliye İşleriyle Görevli Bakan tarafından ödenek kullanımının ayrıntılı harcama programına bağlanmasının uygun görülmesi halinde, belirlenecek serbest bırakma oranları üzerinde ve bu</w:t>
            </w:r>
          </w:p>
          <w:p w:rsidR="00BF4CA4" w:rsidRDefault="005F2B96">
            <w:pPr>
              <w:pStyle w:val="TableParagraph"/>
              <w:spacing w:before="2" w:line="237" w:lineRule="exact"/>
              <w:ind w:left="133"/>
              <w:jc w:val="both"/>
            </w:pPr>
            <w:proofErr w:type="gramStart"/>
            <w:r>
              <w:t>harcama</w:t>
            </w:r>
            <w:proofErr w:type="gramEnd"/>
            <w:r>
              <w:t xml:space="preserve"> programı dışında harcama yapılamaz.</w:t>
            </w:r>
          </w:p>
        </w:tc>
      </w:tr>
      <w:tr w:rsidR="00BF4CA4">
        <w:trPr>
          <w:trHeight w:val="1137"/>
        </w:trPr>
        <w:tc>
          <w:tcPr>
            <w:tcW w:w="2658" w:type="dxa"/>
          </w:tcPr>
          <w:p w:rsidR="00BF4CA4" w:rsidRDefault="00BF4CA4">
            <w:pPr>
              <w:pStyle w:val="TableParagraph"/>
            </w:pPr>
          </w:p>
        </w:tc>
        <w:tc>
          <w:tcPr>
            <w:tcW w:w="651" w:type="dxa"/>
          </w:tcPr>
          <w:p w:rsidR="00BF4CA4" w:rsidRDefault="00BF4CA4">
            <w:pPr>
              <w:pStyle w:val="TableParagraph"/>
            </w:pPr>
          </w:p>
        </w:tc>
        <w:tc>
          <w:tcPr>
            <w:tcW w:w="552" w:type="dxa"/>
          </w:tcPr>
          <w:p w:rsidR="00BF4CA4" w:rsidRDefault="005F2B96">
            <w:pPr>
              <w:pStyle w:val="TableParagraph"/>
              <w:spacing w:line="248" w:lineRule="exact"/>
              <w:ind w:left="128"/>
            </w:pPr>
            <w:r>
              <w:t>(2)</w:t>
            </w:r>
          </w:p>
        </w:tc>
        <w:tc>
          <w:tcPr>
            <w:tcW w:w="10473" w:type="dxa"/>
          </w:tcPr>
          <w:p w:rsidR="00BF4CA4" w:rsidRDefault="005F2B96">
            <w:pPr>
              <w:pStyle w:val="TableParagraph"/>
              <w:ind w:left="133" w:right="197"/>
              <w:jc w:val="both"/>
            </w:pPr>
            <w:r>
              <w:t>Yukarıdaki fıkraya bağlı olarak 2019 Mali Yılında, Yüksek Mahkeme Başkanlığı, Hukuk Dairesi (Başsavcılık), Sayıştay Başkanlığı, Kamu Hizmeti Komisyonu Başkanlığı ile Yüksek Yönetim Denetçisi (Ombudsman); mali yıl başında hazırlanacak Ayrıntılı Harcama Programının Maliye İşleriyle Görevli Bakanlık tarafından onaylanması kaydı ile 2019 Mali Yılı Bütçe ödeneklerinden ödenekleri çerçevesinde harcama yapabilir.</w:t>
            </w:r>
          </w:p>
        </w:tc>
      </w:tr>
      <w:tr w:rsidR="00BF4CA4">
        <w:trPr>
          <w:trHeight w:val="759"/>
        </w:trPr>
        <w:tc>
          <w:tcPr>
            <w:tcW w:w="2658" w:type="dxa"/>
          </w:tcPr>
          <w:p w:rsidR="00BF4CA4" w:rsidRDefault="005F2B96">
            <w:pPr>
              <w:pStyle w:val="TableParagraph"/>
              <w:spacing w:before="122"/>
              <w:ind w:left="200" w:right="598"/>
            </w:pPr>
            <w:r>
              <w:t>Yasanın Uygulaması 16/1999</w:t>
            </w:r>
          </w:p>
        </w:tc>
        <w:tc>
          <w:tcPr>
            <w:tcW w:w="11676" w:type="dxa"/>
            <w:gridSpan w:val="3"/>
          </w:tcPr>
          <w:p w:rsidR="00BF4CA4" w:rsidRDefault="005F2B96" w:rsidP="00113B38">
            <w:pPr>
              <w:pStyle w:val="TableParagraph"/>
              <w:spacing w:before="122"/>
              <w:ind w:left="160" w:right="148"/>
              <w:jc w:val="both"/>
            </w:pPr>
            <w:r>
              <w:t>14. Bu Yasayı, Bütçenin Hazırlanması ve Uygulanmasına İlişkin Kurallar Yasası çerçevesinde Kuzey Kıbrıs Türk Cumhuriyeti Bakanlar Kurulu adına, Maliye İşleriyle Görevli Bakan uygular.</w:t>
            </w:r>
          </w:p>
        </w:tc>
      </w:tr>
      <w:tr w:rsidR="00BF4CA4">
        <w:trPr>
          <w:trHeight w:val="1387"/>
        </w:trPr>
        <w:tc>
          <w:tcPr>
            <w:tcW w:w="2658" w:type="dxa"/>
          </w:tcPr>
          <w:p w:rsidR="00BF4CA4" w:rsidRDefault="005F2B96">
            <w:pPr>
              <w:pStyle w:val="TableParagraph"/>
              <w:spacing w:before="121"/>
              <w:ind w:left="200"/>
            </w:pPr>
            <w:r>
              <w:t>Cumhurbaşkanlığı</w:t>
            </w:r>
          </w:p>
          <w:p w:rsidR="00BF4CA4" w:rsidRDefault="005F2B96">
            <w:pPr>
              <w:pStyle w:val="TableParagraph"/>
              <w:spacing w:before="2"/>
              <w:ind w:left="200" w:right="202"/>
            </w:pPr>
            <w:r>
              <w:t>Tanıtma ve Enformasyon Hizmetlerine Katkı</w:t>
            </w:r>
          </w:p>
          <w:p w:rsidR="00BF4CA4" w:rsidRDefault="005F2B96">
            <w:pPr>
              <w:pStyle w:val="TableParagraph"/>
              <w:spacing w:before="4" w:line="252" w:lineRule="exact"/>
              <w:ind w:left="200" w:right="427"/>
            </w:pPr>
            <w:r>
              <w:t>Projesindeki Ödeneğin Kullanımı</w:t>
            </w:r>
          </w:p>
        </w:tc>
        <w:tc>
          <w:tcPr>
            <w:tcW w:w="11676" w:type="dxa"/>
            <w:gridSpan w:val="3"/>
          </w:tcPr>
          <w:p w:rsidR="00BF4CA4" w:rsidRDefault="005F2B96">
            <w:pPr>
              <w:pStyle w:val="TableParagraph"/>
              <w:spacing w:before="121"/>
              <w:ind w:left="160" w:right="198"/>
              <w:jc w:val="both"/>
            </w:pPr>
            <w:r>
              <w:t>15. Cumhurbaşkanlığı Bütçesi altında öngörülen “Cumhurbaşkanlığı Tanıtma ve Enformasyon Hizmetlerine Katkı Projesi”ndeki ödenek, Devletin milli güvenliği ve yüksek menfaatleri ile itibarının gerekleri, siyasi, sosyal ve kültürel amaçlar ve olağanüstü hizmetlerle ilgili olarak kullanılır. Bu ödenek, amaçları dışında ve Cumhurbaşkanının ve ailesinin</w:t>
            </w:r>
            <w:r>
              <w:rPr>
                <w:spacing w:val="13"/>
              </w:rPr>
              <w:t xml:space="preserve"> </w:t>
            </w:r>
            <w:r>
              <w:t>kişisel</w:t>
            </w:r>
          </w:p>
          <w:p w:rsidR="00BF4CA4" w:rsidRDefault="005F2B96">
            <w:pPr>
              <w:pStyle w:val="TableParagraph"/>
              <w:spacing w:before="6" w:line="252" w:lineRule="exact"/>
              <w:ind w:left="160" w:right="198"/>
              <w:jc w:val="both"/>
            </w:pPr>
            <w:proofErr w:type="gramStart"/>
            <w:r>
              <w:t>harcamaları</w:t>
            </w:r>
            <w:proofErr w:type="gramEnd"/>
            <w:r>
              <w:t xml:space="preserve"> ve siyasi partilerin ihtiyaçlarında kullanılamaz. Bu ödenek ile ilgili harcamalar, diğer yasalardaki kurallara bakılmaksızın denetime tabi değildir.</w:t>
            </w:r>
          </w:p>
        </w:tc>
      </w:tr>
    </w:tbl>
    <w:p w:rsidR="00BF4CA4" w:rsidRDefault="00BF4CA4">
      <w:pPr>
        <w:spacing w:line="252" w:lineRule="exact"/>
        <w:jc w:val="both"/>
        <w:sectPr w:rsidR="00BF4CA4">
          <w:pgSz w:w="16840" w:h="11910" w:orient="landscape"/>
          <w:pgMar w:top="980" w:right="1180" w:bottom="880" w:left="1100" w:header="0" w:footer="693" w:gutter="0"/>
          <w:cols w:space="720"/>
        </w:sectPr>
      </w:pPr>
    </w:p>
    <w:p w:rsidR="00BF4CA4" w:rsidRDefault="00BF4CA4">
      <w:pPr>
        <w:pStyle w:val="BodyText"/>
        <w:rPr>
          <w:sz w:val="14"/>
        </w:rPr>
      </w:pPr>
    </w:p>
    <w:tbl>
      <w:tblPr>
        <w:tblW w:w="0" w:type="auto"/>
        <w:tblInd w:w="118" w:type="dxa"/>
        <w:tblLayout w:type="fixed"/>
        <w:tblCellMar>
          <w:left w:w="0" w:type="dxa"/>
          <w:right w:w="0" w:type="dxa"/>
        </w:tblCellMar>
        <w:tblLook w:val="01E0" w:firstRow="1" w:lastRow="1" w:firstColumn="1" w:lastColumn="1" w:noHBand="0" w:noVBand="0"/>
      </w:tblPr>
      <w:tblGrid>
        <w:gridCol w:w="2676"/>
        <w:gridCol w:w="11660"/>
      </w:tblGrid>
      <w:tr w:rsidR="00BF4CA4">
        <w:trPr>
          <w:trHeight w:val="249"/>
        </w:trPr>
        <w:tc>
          <w:tcPr>
            <w:tcW w:w="2676" w:type="dxa"/>
          </w:tcPr>
          <w:p w:rsidR="00BF4CA4" w:rsidRDefault="005F2B96">
            <w:pPr>
              <w:pStyle w:val="TableParagraph"/>
              <w:spacing w:line="229" w:lineRule="exact"/>
              <w:ind w:left="200"/>
            </w:pPr>
            <w:r>
              <w:t>İstihdam</w:t>
            </w:r>
          </w:p>
        </w:tc>
        <w:tc>
          <w:tcPr>
            <w:tcW w:w="11660" w:type="dxa"/>
          </w:tcPr>
          <w:p w:rsidR="00BF4CA4" w:rsidRDefault="005F2B96" w:rsidP="00113B38">
            <w:pPr>
              <w:pStyle w:val="TableParagraph"/>
              <w:spacing w:line="229" w:lineRule="exact"/>
              <w:ind w:left="142"/>
              <w:jc w:val="both"/>
            </w:pPr>
            <w:r>
              <w:t>16. Bütçenin Hazırlanması ve Uygulanmasına İlişkin Kurallar Yasasının 27’nci maddesinin (2)’nci fıkrası kurallarına</w:t>
            </w:r>
          </w:p>
        </w:tc>
      </w:tr>
      <w:tr w:rsidR="00BF4CA4">
        <w:trPr>
          <w:trHeight w:val="253"/>
        </w:trPr>
        <w:tc>
          <w:tcPr>
            <w:tcW w:w="2676" w:type="dxa"/>
          </w:tcPr>
          <w:p w:rsidR="00BF4CA4" w:rsidRDefault="005F2B96">
            <w:pPr>
              <w:pStyle w:val="TableParagraph"/>
              <w:spacing w:line="233" w:lineRule="exact"/>
              <w:ind w:left="200"/>
            </w:pPr>
            <w:r>
              <w:t>16/1999</w:t>
            </w:r>
          </w:p>
        </w:tc>
        <w:tc>
          <w:tcPr>
            <w:tcW w:w="11660" w:type="dxa"/>
          </w:tcPr>
          <w:p w:rsidR="00BF4CA4" w:rsidRDefault="005F2B96" w:rsidP="00113B38">
            <w:pPr>
              <w:pStyle w:val="TableParagraph"/>
              <w:spacing w:line="233" w:lineRule="exact"/>
              <w:ind w:left="142"/>
              <w:jc w:val="both"/>
            </w:pPr>
            <w:r>
              <w:t>bakılmaksızın, bütçede öngörülen veya yıl içerisinde herhangi bir sebeple münhal düşen kadroların, karşılarında “Münhal”</w:t>
            </w:r>
          </w:p>
        </w:tc>
      </w:tr>
      <w:tr w:rsidR="00BF4CA4">
        <w:trPr>
          <w:trHeight w:val="253"/>
        </w:trPr>
        <w:tc>
          <w:tcPr>
            <w:tcW w:w="2676" w:type="dxa"/>
          </w:tcPr>
          <w:p w:rsidR="00BF4CA4" w:rsidRDefault="00BF4CA4">
            <w:pPr>
              <w:pStyle w:val="TableParagraph"/>
              <w:rPr>
                <w:sz w:val="18"/>
              </w:rPr>
            </w:pPr>
          </w:p>
        </w:tc>
        <w:tc>
          <w:tcPr>
            <w:tcW w:w="11660" w:type="dxa"/>
          </w:tcPr>
          <w:p w:rsidR="00BF4CA4" w:rsidRDefault="005F2B96" w:rsidP="00113B38">
            <w:pPr>
              <w:pStyle w:val="TableParagraph"/>
              <w:spacing w:line="233" w:lineRule="exact"/>
              <w:ind w:left="142"/>
              <w:jc w:val="both"/>
            </w:pPr>
            <w:r>
              <w:t>sözcüğü yazılı olup olmadığına ve hangi statüde alınacağına bakılmaksızın, mali olanaklar elverdiği ölçüde Özelleştirme Yasası</w:t>
            </w:r>
          </w:p>
        </w:tc>
      </w:tr>
      <w:tr w:rsidR="00BF4CA4">
        <w:trPr>
          <w:trHeight w:val="253"/>
        </w:trPr>
        <w:tc>
          <w:tcPr>
            <w:tcW w:w="2676" w:type="dxa"/>
          </w:tcPr>
          <w:p w:rsidR="00BF4CA4" w:rsidRDefault="005F2B96">
            <w:pPr>
              <w:pStyle w:val="TableParagraph"/>
              <w:spacing w:line="233" w:lineRule="exact"/>
              <w:ind w:left="200"/>
            </w:pPr>
            <w:r>
              <w:t>24/2012</w:t>
            </w:r>
          </w:p>
        </w:tc>
        <w:tc>
          <w:tcPr>
            <w:tcW w:w="11660" w:type="dxa"/>
          </w:tcPr>
          <w:p w:rsidR="00BF4CA4" w:rsidRDefault="005F2B96" w:rsidP="00113B38">
            <w:pPr>
              <w:pStyle w:val="TableParagraph"/>
              <w:spacing w:line="233" w:lineRule="exact"/>
              <w:ind w:left="142"/>
              <w:jc w:val="both"/>
            </w:pPr>
            <w:r>
              <w:t>kapsamında alınacaklar ile vardiya düzeninin sağlanması için yapılacak istihdamlar hariç olmak üzere, kamuda 1 yıl içinde yeni</w:t>
            </w:r>
          </w:p>
        </w:tc>
      </w:tr>
      <w:tr w:rsidR="00BF4CA4">
        <w:trPr>
          <w:trHeight w:val="251"/>
        </w:trPr>
        <w:tc>
          <w:tcPr>
            <w:tcW w:w="2676" w:type="dxa"/>
          </w:tcPr>
          <w:p w:rsidR="00BF4CA4" w:rsidRDefault="005F2B96">
            <w:pPr>
              <w:pStyle w:val="TableParagraph"/>
              <w:spacing w:line="232" w:lineRule="exact"/>
              <w:ind w:left="365"/>
            </w:pPr>
            <w:r>
              <w:t>1/2015</w:t>
            </w:r>
          </w:p>
        </w:tc>
        <w:tc>
          <w:tcPr>
            <w:tcW w:w="11660" w:type="dxa"/>
          </w:tcPr>
          <w:p w:rsidR="00BF4CA4" w:rsidRDefault="005F2B96" w:rsidP="00113B38">
            <w:pPr>
              <w:pStyle w:val="TableParagraph"/>
              <w:spacing w:line="232" w:lineRule="exact"/>
              <w:ind w:left="142"/>
              <w:jc w:val="both"/>
            </w:pPr>
            <w:r>
              <w:t>istihdam edilecek toplam personel sayısı merkezi idarelerde ve KİT’lerde 2018 Mali Yılı içerisinde emekli olanların sayısını</w:t>
            </w:r>
          </w:p>
        </w:tc>
      </w:tr>
      <w:tr w:rsidR="00BF4CA4">
        <w:trPr>
          <w:trHeight w:val="253"/>
        </w:trPr>
        <w:tc>
          <w:tcPr>
            <w:tcW w:w="2676" w:type="dxa"/>
          </w:tcPr>
          <w:p w:rsidR="00BF4CA4" w:rsidRDefault="005F2B96">
            <w:pPr>
              <w:pStyle w:val="TableParagraph"/>
              <w:spacing w:line="233" w:lineRule="exact"/>
              <w:ind w:left="365"/>
            </w:pPr>
            <w:r>
              <w:t>1/2017</w:t>
            </w:r>
          </w:p>
        </w:tc>
        <w:tc>
          <w:tcPr>
            <w:tcW w:w="11660" w:type="dxa"/>
          </w:tcPr>
          <w:p w:rsidR="00BF4CA4" w:rsidRDefault="005F2B96" w:rsidP="00113B38">
            <w:pPr>
              <w:pStyle w:val="TableParagraph"/>
              <w:spacing w:line="233" w:lineRule="exact"/>
              <w:ind w:left="142"/>
              <w:jc w:val="both"/>
            </w:pPr>
            <w:proofErr w:type="gramStart"/>
            <w:r>
              <w:t>aşmayacak</w:t>
            </w:r>
            <w:proofErr w:type="gramEnd"/>
            <w:r>
              <w:t xml:space="preserve"> şekilde doldurulabilir. Bütçede ödeneği olan veya bütçeden katkı alan tüm Kurum, Kuruluş, Bağımsız Daireler de</w:t>
            </w:r>
          </w:p>
        </w:tc>
      </w:tr>
      <w:tr w:rsidR="00BF4CA4">
        <w:trPr>
          <w:trHeight w:val="253"/>
        </w:trPr>
        <w:tc>
          <w:tcPr>
            <w:tcW w:w="2676" w:type="dxa"/>
          </w:tcPr>
          <w:p w:rsidR="00BF4CA4" w:rsidRDefault="00BF4CA4">
            <w:pPr>
              <w:pStyle w:val="TableParagraph"/>
              <w:rPr>
                <w:sz w:val="18"/>
              </w:rPr>
            </w:pPr>
          </w:p>
        </w:tc>
        <w:tc>
          <w:tcPr>
            <w:tcW w:w="11660" w:type="dxa"/>
          </w:tcPr>
          <w:p w:rsidR="00BF4CA4" w:rsidRDefault="005F2B96" w:rsidP="00113B38">
            <w:pPr>
              <w:pStyle w:val="TableParagraph"/>
              <w:spacing w:line="233" w:lineRule="exact"/>
              <w:ind w:left="142"/>
              <w:jc w:val="both"/>
            </w:pPr>
            <w:r>
              <w:t>dahil olmak üzere her ne ad altında olursa olsun personel istihdamı öncesinde Maliye İşleriyle Görevli Bakanlıktan yetki</w:t>
            </w:r>
          </w:p>
        </w:tc>
      </w:tr>
      <w:tr w:rsidR="00BF4CA4">
        <w:trPr>
          <w:trHeight w:val="379"/>
        </w:trPr>
        <w:tc>
          <w:tcPr>
            <w:tcW w:w="2676" w:type="dxa"/>
          </w:tcPr>
          <w:p w:rsidR="00BF4CA4" w:rsidRDefault="00BF4CA4">
            <w:pPr>
              <w:pStyle w:val="TableParagraph"/>
            </w:pPr>
          </w:p>
        </w:tc>
        <w:tc>
          <w:tcPr>
            <w:tcW w:w="11660" w:type="dxa"/>
          </w:tcPr>
          <w:p w:rsidR="00BF4CA4" w:rsidRDefault="005F2B96" w:rsidP="00113B38">
            <w:pPr>
              <w:pStyle w:val="TableParagraph"/>
              <w:spacing w:line="248" w:lineRule="exact"/>
              <w:ind w:left="142"/>
              <w:jc w:val="both"/>
            </w:pPr>
            <w:proofErr w:type="gramStart"/>
            <w:r>
              <w:t>alınacaktır</w:t>
            </w:r>
            <w:proofErr w:type="gramEnd"/>
            <w:r>
              <w:t>.</w:t>
            </w:r>
          </w:p>
        </w:tc>
      </w:tr>
      <w:tr w:rsidR="00BF4CA4">
        <w:trPr>
          <w:trHeight w:val="758"/>
        </w:trPr>
        <w:tc>
          <w:tcPr>
            <w:tcW w:w="2676" w:type="dxa"/>
          </w:tcPr>
          <w:p w:rsidR="00BF4CA4" w:rsidRDefault="005F2B96">
            <w:pPr>
              <w:pStyle w:val="TableParagraph"/>
              <w:spacing w:before="122"/>
              <w:ind w:left="200"/>
            </w:pPr>
            <w:r>
              <w:t>Hizmet Alımı</w:t>
            </w:r>
          </w:p>
        </w:tc>
        <w:tc>
          <w:tcPr>
            <w:tcW w:w="11660" w:type="dxa"/>
          </w:tcPr>
          <w:p w:rsidR="00BF4CA4" w:rsidRDefault="005F2B96" w:rsidP="00113B38">
            <w:pPr>
              <w:pStyle w:val="TableParagraph"/>
              <w:spacing w:before="122"/>
              <w:ind w:left="142" w:right="189"/>
              <w:jc w:val="both"/>
            </w:pPr>
            <w:r>
              <w:t>17. Hizmet alımları, yalnızca ilgili bütçe ödeneğinden yapılır. Hizmet alımı suretiyle geçici veya sözleşme ile personel istihdamı yapılamaz ve bu tutarlar, personel ödeneklerinden ödenemez.</w:t>
            </w:r>
          </w:p>
        </w:tc>
      </w:tr>
      <w:tr w:rsidR="00BF4CA4">
        <w:trPr>
          <w:trHeight w:val="1519"/>
        </w:trPr>
        <w:tc>
          <w:tcPr>
            <w:tcW w:w="2676" w:type="dxa"/>
          </w:tcPr>
          <w:p w:rsidR="00BF4CA4" w:rsidRDefault="005F2B96">
            <w:pPr>
              <w:pStyle w:val="TableParagraph"/>
              <w:spacing w:before="122"/>
              <w:ind w:left="200" w:right="794"/>
            </w:pPr>
            <w:r>
              <w:t>Borçlanma, Devlet Kefaleti</w:t>
            </w:r>
          </w:p>
        </w:tc>
        <w:tc>
          <w:tcPr>
            <w:tcW w:w="11660" w:type="dxa"/>
          </w:tcPr>
          <w:p w:rsidR="00BF4CA4" w:rsidRDefault="005F2B96" w:rsidP="00113B38">
            <w:pPr>
              <w:pStyle w:val="TableParagraph"/>
              <w:spacing w:before="122"/>
              <w:ind w:left="142" w:right="198"/>
              <w:jc w:val="both"/>
            </w:pPr>
            <w:r>
              <w:t>18. KİT’ler ve diğer kamu kurum ve kuruluşları herhangi bir şekilde Merkez Bankası, kamu ve özel bankalar ile İhtiyat Sandığı Fonundan borçlanamaz. Mevcut kefaletlerin yenilenmesi haricinde yeni Devlet Kefaleti ile Devlet Kurumları Kefaleti verilemez.</w:t>
            </w:r>
          </w:p>
          <w:p w:rsidR="00BF4CA4" w:rsidRDefault="005F2B96" w:rsidP="00113B38">
            <w:pPr>
              <w:pStyle w:val="TableParagraph"/>
              <w:spacing w:before="2"/>
              <w:ind w:left="142" w:firstLine="708"/>
              <w:jc w:val="both"/>
            </w:pPr>
            <w:r>
              <w:t>Ancak KIBTEK ve Sosyal Sigortalar Dairesi ile Reform Destekleme Ödeneğinin kullanıldığı yeniden yapılandırmaya yönelik borçlandırmalar için Devlet Kefaleti ile Devlet Kurumları Kefaleti verilebilir.</w:t>
            </w:r>
          </w:p>
        </w:tc>
      </w:tr>
      <w:tr w:rsidR="00BF4CA4">
        <w:trPr>
          <w:trHeight w:val="1265"/>
        </w:trPr>
        <w:tc>
          <w:tcPr>
            <w:tcW w:w="2676" w:type="dxa"/>
          </w:tcPr>
          <w:p w:rsidR="00BF4CA4" w:rsidRDefault="005F2B96">
            <w:pPr>
              <w:pStyle w:val="TableParagraph"/>
              <w:spacing w:before="122"/>
              <w:ind w:left="200" w:right="1264"/>
            </w:pPr>
            <w:r>
              <w:t>İç Borçlanma 16/1999</w:t>
            </w:r>
          </w:p>
        </w:tc>
        <w:tc>
          <w:tcPr>
            <w:tcW w:w="11660" w:type="dxa"/>
          </w:tcPr>
          <w:p w:rsidR="00BF4CA4" w:rsidRDefault="005F2B96" w:rsidP="00113B38">
            <w:pPr>
              <w:pStyle w:val="TableParagraph"/>
              <w:spacing w:before="122"/>
              <w:ind w:left="142" w:right="198"/>
              <w:jc w:val="both"/>
            </w:pPr>
            <w:r>
              <w:t>19. Bütçenin Hazırlanması ve Uygulanmasına İlişkin Kurallar Yasasının 24’üncü maddesi kurallarına bakılmaksızın; Devlet, 2019 Mali Yılı Bütçesinde öngörülen ödenekler toplamı ile gelirler toplamı arasındaki fark kadar net borçlanabilir, mevcut kamusal nitelikli borçların temditi veya önceden verilmiş limitlerin kullanılmasına bağlı yasa ile belirlenen sınırlara ilişkin kurallar saklıdır. Bu kapsam haricinde hiçbir surette borçlanma yapılamaz.</w:t>
            </w:r>
          </w:p>
        </w:tc>
      </w:tr>
      <w:tr w:rsidR="00BF4CA4">
        <w:trPr>
          <w:trHeight w:val="1011"/>
        </w:trPr>
        <w:tc>
          <w:tcPr>
            <w:tcW w:w="2676" w:type="dxa"/>
          </w:tcPr>
          <w:p w:rsidR="00BF4CA4" w:rsidRDefault="005F2B96">
            <w:pPr>
              <w:pStyle w:val="TableParagraph"/>
              <w:spacing w:before="122"/>
              <w:ind w:left="200" w:right="623"/>
            </w:pPr>
            <w:r>
              <w:t>Devlet İç Borçlanma Senetleri ve Devlet Kefaleti</w:t>
            </w:r>
          </w:p>
        </w:tc>
        <w:tc>
          <w:tcPr>
            <w:tcW w:w="11660" w:type="dxa"/>
          </w:tcPr>
          <w:p w:rsidR="00BF4CA4" w:rsidRDefault="005F2B96" w:rsidP="00113B38">
            <w:pPr>
              <w:pStyle w:val="TableParagraph"/>
              <w:spacing w:before="122"/>
              <w:ind w:left="142" w:right="189"/>
              <w:jc w:val="both"/>
            </w:pPr>
            <w:r>
              <w:t>20. Devlet, bütçede öngörülen ödenekler toplamı ile gelirler toplamı arasındaki fark kadar iç borçlanma senedi ihraç edebilir ve bu miktar kadar kefalet ve garanti verebilir.</w:t>
            </w:r>
          </w:p>
        </w:tc>
      </w:tr>
      <w:tr w:rsidR="00BF4CA4">
        <w:trPr>
          <w:trHeight w:val="759"/>
        </w:trPr>
        <w:tc>
          <w:tcPr>
            <w:tcW w:w="2676" w:type="dxa"/>
          </w:tcPr>
          <w:p w:rsidR="00BF4CA4" w:rsidRDefault="005F2B96">
            <w:pPr>
              <w:pStyle w:val="TableParagraph"/>
              <w:spacing w:before="121"/>
              <w:ind w:left="200" w:right="202"/>
            </w:pPr>
            <w:r>
              <w:t>Özel Tertip İç Borçlanma Senetleri Limiti</w:t>
            </w:r>
          </w:p>
        </w:tc>
        <w:tc>
          <w:tcPr>
            <w:tcW w:w="11660" w:type="dxa"/>
          </w:tcPr>
          <w:p w:rsidR="00BF4CA4" w:rsidRDefault="005F2B96" w:rsidP="00113B38">
            <w:pPr>
              <w:pStyle w:val="TableParagraph"/>
              <w:spacing w:before="121"/>
              <w:ind w:left="142" w:right="200"/>
              <w:jc w:val="both"/>
            </w:pPr>
            <w:r>
              <w:t>21. İkrazen ihraç edilecek özel tertip Devlet iç borçlanma senetlerinin tutarları 500,000,000.-TL (Beş Yüz Milyon Türk Lirası)’nı aşamaz.</w:t>
            </w:r>
          </w:p>
        </w:tc>
      </w:tr>
      <w:tr w:rsidR="00BF4CA4">
        <w:trPr>
          <w:trHeight w:val="879"/>
        </w:trPr>
        <w:tc>
          <w:tcPr>
            <w:tcW w:w="2676" w:type="dxa"/>
          </w:tcPr>
          <w:p w:rsidR="00BF4CA4" w:rsidRDefault="005F2B96">
            <w:pPr>
              <w:pStyle w:val="TableParagraph"/>
              <w:spacing w:before="126" w:line="252" w:lineRule="exact"/>
              <w:ind w:left="200" w:right="122"/>
            </w:pPr>
            <w:r>
              <w:t>Görev Zararı ile Teşvik ve Destek Ödeneklerinin Aşılamayacağı</w:t>
            </w:r>
          </w:p>
        </w:tc>
        <w:tc>
          <w:tcPr>
            <w:tcW w:w="11660" w:type="dxa"/>
          </w:tcPr>
          <w:p w:rsidR="00BF4CA4" w:rsidRDefault="005F2B96" w:rsidP="00113B38">
            <w:pPr>
              <w:pStyle w:val="TableParagraph"/>
              <w:spacing w:before="122"/>
              <w:ind w:left="142"/>
              <w:jc w:val="both"/>
            </w:pPr>
            <w:r>
              <w:t>22. Bütçede görev zararları ile teşvik ve destek için öngörülen ödeneklerde aşıma neden olacak işlem yapılamaz.</w:t>
            </w:r>
          </w:p>
        </w:tc>
      </w:tr>
    </w:tbl>
    <w:p w:rsidR="00BF4CA4" w:rsidRDefault="00BF4CA4">
      <w:pPr>
        <w:sectPr w:rsidR="00BF4CA4">
          <w:pgSz w:w="16840" w:h="11910" w:orient="landscape"/>
          <w:pgMar w:top="1100" w:right="1180" w:bottom="880" w:left="1100" w:header="0" w:footer="693" w:gutter="0"/>
          <w:cols w:space="720"/>
        </w:sectPr>
      </w:pPr>
    </w:p>
    <w:p w:rsidR="00BF4CA4" w:rsidRDefault="00BF4CA4">
      <w:pPr>
        <w:pStyle w:val="BodyText"/>
        <w:rPr>
          <w:sz w:val="14"/>
        </w:rPr>
      </w:pPr>
    </w:p>
    <w:tbl>
      <w:tblPr>
        <w:tblW w:w="0" w:type="auto"/>
        <w:tblInd w:w="118" w:type="dxa"/>
        <w:tblLayout w:type="fixed"/>
        <w:tblCellMar>
          <w:left w:w="0" w:type="dxa"/>
          <w:right w:w="0" w:type="dxa"/>
        </w:tblCellMar>
        <w:tblLook w:val="01E0" w:firstRow="1" w:lastRow="1" w:firstColumn="1" w:lastColumn="1" w:noHBand="0" w:noVBand="0"/>
      </w:tblPr>
      <w:tblGrid>
        <w:gridCol w:w="2522"/>
        <w:gridCol w:w="789"/>
        <w:gridCol w:w="550"/>
        <w:gridCol w:w="10473"/>
      </w:tblGrid>
      <w:tr w:rsidR="00BF4CA4">
        <w:trPr>
          <w:trHeight w:val="3160"/>
        </w:trPr>
        <w:tc>
          <w:tcPr>
            <w:tcW w:w="2522" w:type="dxa"/>
          </w:tcPr>
          <w:p w:rsidR="00BF4CA4" w:rsidRDefault="005F2B96">
            <w:pPr>
              <w:pStyle w:val="TableParagraph"/>
              <w:ind w:left="200" w:right="274"/>
            </w:pPr>
            <w:r>
              <w:t>Taşınmaz Mal Komisyonu Kararı ile Ödenecek Tazminat ve Diğer Ödemeler 67/2005</w:t>
            </w:r>
          </w:p>
          <w:p w:rsidR="00BF4CA4" w:rsidRDefault="005F2B96">
            <w:pPr>
              <w:pStyle w:val="TableParagraph"/>
              <w:ind w:left="401" w:right="1357"/>
              <w:jc w:val="center"/>
            </w:pPr>
            <w:r>
              <w:t>59/2006</w:t>
            </w:r>
          </w:p>
          <w:p w:rsidR="00BF4CA4" w:rsidRDefault="005F2B96">
            <w:pPr>
              <w:pStyle w:val="TableParagraph"/>
              <w:spacing w:line="252" w:lineRule="exact"/>
              <w:ind w:left="401" w:right="1357"/>
              <w:jc w:val="center"/>
            </w:pPr>
            <w:r>
              <w:t>85/2007</w:t>
            </w:r>
          </w:p>
          <w:p w:rsidR="00BF4CA4" w:rsidRDefault="005F2B96">
            <w:pPr>
              <w:pStyle w:val="TableParagraph"/>
              <w:spacing w:line="252" w:lineRule="exact"/>
              <w:ind w:left="401" w:right="1357"/>
              <w:jc w:val="center"/>
            </w:pPr>
            <w:r>
              <w:t>74/2009</w:t>
            </w:r>
          </w:p>
          <w:p w:rsidR="00BF4CA4" w:rsidRDefault="005F2B96">
            <w:pPr>
              <w:pStyle w:val="TableParagraph"/>
              <w:spacing w:line="253" w:lineRule="exact"/>
              <w:ind w:left="401" w:right="1357"/>
              <w:jc w:val="center"/>
            </w:pPr>
            <w:r>
              <w:t>56/2011</w:t>
            </w:r>
          </w:p>
          <w:p w:rsidR="00BF4CA4" w:rsidRDefault="005F2B96">
            <w:pPr>
              <w:pStyle w:val="TableParagraph"/>
              <w:spacing w:line="252" w:lineRule="exact"/>
              <w:ind w:left="401" w:right="1357"/>
              <w:jc w:val="center"/>
            </w:pPr>
            <w:r>
              <w:t>30/2013</w:t>
            </w:r>
          </w:p>
          <w:p w:rsidR="00BF4CA4" w:rsidRDefault="005F2B96">
            <w:pPr>
              <w:pStyle w:val="TableParagraph"/>
              <w:spacing w:line="252" w:lineRule="exact"/>
              <w:ind w:left="402" w:right="1246"/>
              <w:jc w:val="center"/>
            </w:pPr>
            <w:r>
              <w:t>1/2016</w:t>
            </w:r>
          </w:p>
          <w:p w:rsidR="00BF4CA4" w:rsidRDefault="005F2B96">
            <w:pPr>
              <w:pStyle w:val="TableParagraph"/>
              <w:ind w:left="401" w:right="1357"/>
              <w:jc w:val="center"/>
            </w:pPr>
            <w:r>
              <w:t>67/2017</w:t>
            </w:r>
          </w:p>
        </w:tc>
        <w:tc>
          <w:tcPr>
            <w:tcW w:w="11812" w:type="dxa"/>
            <w:gridSpan w:val="3"/>
          </w:tcPr>
          <w:p w:rsidR="00BF4CA4" w:rsidRDefault="005F2B96" w:rsidP="00113B38">
            <w:pPr>
              <w:pStyle w:val="TableParagraph"/>
              <w:ind w:left="296" w:right="196"/>
              <w:jc w:val="both"/>
            </w:pPr>
            <w:r>
              <w:t>23. “B” Gelirler Cetvelindeki Ekonomik Kodu 02-3-1-90 “Diğer Gayrimenkul Kira Gelirleri” kalemine yatırılan gelirler, Anayasanın 159’uncu Maddesinin (1)’inci Fıkrasının (b) Bendi Kapsamına Giren Taşınmaz Malların Tazmini Takası ve İadesi Yasasının 18’inci maddesi kuralları uyarınca, Komisyon kararı ile ödenecek tazminat miktarları ve diğer ödemeler; “A” Ödenekler Cetvelinde yer alan I’inci düzey Kurumsal 07; “İçişleri Bakanlığı” II’nci düzey Kurumsal Kodu: 01 “Yönetim Hizmetleri” altında yer alan Fonksiyonel Kodu: 03 “Kamu Düzeni ve Güvenlik Hizmetleri”; Finansman Kodu: 1 “Mahalli Kaynaklar”; Ekonomik Kodu: 05-4-9-02 “67/2005 Sayılı Yasa Gereği Ödemeler” kalemine ödenek kaydedilerek kullanılır. Ekonomik Kodu: 02-3-1-90 “Diğer Gayrimenkul Kira Gelirleri” kalemine yatırılan gelir ve Ekonomik Kodu: 05-4-9-02 “67/2005 Sayılı Yasa Gereği Ödemeler” kalemine ödenek kaydetmeye Maliye İşleriyle Görevli Bakanlık yetkilidir.</w:t>
            </w:r>
          </w:p>
        </w:tc>
      </w:tr>
      <w:tr w:rsidR="00BF4CA4">
        <w:trPr>
          <w:trHeight w:val="2023"/>
        </w:trPr>
        <w:tc>
          <w:tcPr>
            <w:tcW w:w="2522" w:type="dxa"/>
          </w:tcPr>
          <w:p w:rsidR="00BF4CA4" w:rsidRDefault="005F2B96">
            <w:pPr>
              <w:pStyle w:val="TableParagraph"/>
              <w:spacing w:before="122"/>
              <w:ind w:left="200" w:right="1507"/>
            </w:pPr>
            <w:r>
              <w:t>Avanslar 16/1999</w:t>
            </w:r>
          </w:p>
        </w:tc>
        <w:tc>
          <w:tcPr>
            <w:tcW w:w="11812" w:type="dxa"/>
            <w:gridSpan w:val="3"/>
          </w:tcPr>
          <w:p w:rsidR="00BF4CA4" w:rsidRDefault="005F2B96" w:rsidP="00113B38">
            <w:pPr>
              <w:pStyle w:val="TableParagraph"/>
              <w:spacing w:before="122"/>
              <w:ind w:left="296" w:right="198"/>
              <w:jc w:val="both"/>
            </w:pPr>
            <w:r>
              <w:t>24. Bütçenin Hazırlanması ve Uygulanmasına İlişkin Kurallar Yasasının 12’nci maddesinin (1)’inci ve (2)’nci fıkrası kurallarına bakılmaksızın bütçede ödeneği olan amaçlar için tahakkuk ve kesin ödeme emri işlemlerinin tamamlanması beklenilmeden peşin ödeme gerektiren ivedi durumlarda, İta Amirinin göstereceği gerekçeler üzerine, ilgili İta Amirine veya önereceği kişi, kurum ve kuruluşlara Maliye İşleriyle Görevli Bakanlığın onayı ile avans</w:t>
            </w:r>
            <w:r>
              <w:rPr>
                <w:spacing w:val="-12"/>
              </w:rPr>
              <w:t xml:space="preserve"> </w:t>
            </w:r>
            <w:r>
              <w:t>verilebilir.</w:t>
            </w:r>
          </w:p>
          <w:p w:rsidR="00BF4CA4" w:rsidRDefault="005F2B96" w:rsidP="00113B38">
            <w:pPr>
              <w:pStyle w:val="TableParagraph"/>
              <w:spacing w:line="251" w:lineRule="exact"/>
              <w:ind w:left="1004"/>
              <w:jc w:val="both"/>
            </w:pPr>
            <w:r>
              <w:t>Ancak Yolluk Tüzüğü kapsamında yapılacak avans nitelikli ödemeler bu kuralın</w:t>
            </w:r>
            <w:r>
              <w:rPr>
                <w:spacing w:val="-28"/>
              </w:rPr>
              <w:t xml:space="preserve"> </w:t>
            </w:r>
            <w:r>
              <w:t>dışındadır.</w:t>
            </w:r>
          </w:p>
          <w:p w:rsidR="00BF4CA4" w:rsidRDefault="005F2B96" w:rsidP="00113B38">
            <w:pPr>
              <w:pStyle w:val="TableParagraph"/>
              <w:spacing w:before="1"/>
              <w:ind w:left="296" w:right="276" w:firstLine="708"/>
              <w:jc w:val="both"/>
            </w:pPr>
            <w:r>
              <w:t xml:space="preserve">Bu madde haricinde avans kullandırılamaz ve ödeneği olmaksızın avans verilemez. Tahsil edilecek bütçe </w:t>
            </w:r>
            <w:proofErr w:type="gramStart"/>
            <w:r>
              <w:t>dışı  avansların</w:t>
            </w:r>
            <w:proofErr w:type="gramEnd"/>
            <w:r>
              <w:t xml:space="preserve"> geri dönüşleri açık avanslarına mahsup edilerek, Devlet borçlarının ödenmesinde</w:t>
            </w:r>
            <w:r>
              <w:rPr>
                <w:spacing w:val="-8"/>
              </w:rPr>
              <w:t xml:space="preserve"> </w:t>
            </w:r>
            <w:r>
              <w:t>kullanılır.</w:t>
            </w:r>
          </w:p>
        </w:tc>
      </w:tr>
      <w:tr w:rsidR="00BF4CA4">
        <w:trPr>
          <w:trHeight w:val="632"/>
        </w:trPr>
        <w:tc>
          <w:tcPr>
            <w:tcW w:w="2522" w:type="dxa"/>
          </w:tcPr>
          <w:p w:rsidR="00BF4CA4" w:rsidRDefault="005F2B96">
            <w:pPr>
              <w:pStyle w:val="TableParagraph"/>
              <w:spacing w:before="122"/>
              <w:ind w:left="200"/>
            </w:pPr>
            <w:r>
              <w:t>Cari Transferler</w:t>
            </w:r>
          </w:p>
        </w:tc>
        <w:tc>
          <w:tcPr>
            <w:tcW w:w="789" w:type="dxa"/>
          </w:tcPr>
          <w:p w:rsidR="00BF4CA4" w:rsidRDefault="005F2B96">
            <w:pPr>
              <w:pStyle w:val="TableParagraph"/>
              <w:spacing w:before="122"/>
              <w:ind w:left="354"/>
            </w:pPr>
            <w:r>
              <w:t>25.</w:t>
            </w:r>
          </w:p>
        </w:tc>
        <w:tc>
          <w:tcPr>
            <w:tcW w:w="550" w:type="dxa"/>
          </w:tcPr>
          <w:p w:rsidR="00BF4CA4" w:rsidRDefault="005F2B96">
            <w:pPr>
              <w:pStyle w:val="TableParagraph"/>
              <w:spacing w:before="122"/>
              <w:ind w:left="141" w:right="112"/>
              <w:jc w:val="center"/>
            </w:pPr>
            <w:r>
              <w:t>(1)</w:t>
            </w:r>
          </w:p>
        </w:tc>
        <w:tc>
          <w:tcPr>
            <w:tcW w:w="10473" w:type="dxa"/>
          </w:tcPr>
          <w:p w:rsidR="00BF4CA4" w:rsidRDefault="005F2B96" w:rsidP="00113B38">
            <w:pPr>
              <w:pStyle w:val="TableParagraph"/>
              <w:spacing w:before="126" w:line="252" w:lineRule="exact"/>
              <w:ind w:left="133"/>
              <w:jc w:val="both"/>
            </w:pPr>
            <w:r>
              <w:t>Maaş nitelikli sosyal transferler ile Din İşleri, BRTK ve TAK’a yapılan katkılar dışında kalan cari transfer kalemlerinin ödenekleri aşılamaz.</w:t>
            </w:r>
          </w:p>
        </w:tc>
      </w:tr>
      <w:tr w:rsidR="00BF4CA4">
        <w:trPr>
          <w:trHeight w:val="885"/>
        </w:trPr>
        <w:tc>
          <w:tcPr>
            <w:tcW w:w="2522" w:type="dxa"/>
          </w:tcPr>
          <w:p w:rsidR="00BF4CA4" w:rsidRDefault="00BF4CA4">
            <w:pPr>
              <w:pStyle w:val="TableParagraph"/>
            </w:pPr>
          </w:p>
        </w:tc>
        <w:tc>
          <w:tcPr>
            <w:tcW w:w="789" w:type="dxa"/>
          </w:tcPr>
          <w:p w:rsidR="00BF4CA4" w:rsidRDefault="00BF4CA4">
            <w:pPr>
              <w:pStyle w:val="TableParagraph"/>
            </w:pPr>
          </w:p>
        </w:tc>
        <w:tc>
          <w:tcPr>
            <w:tcW w:w="550" w:type="dxa"/>
          </w:tcPr>
          <w:p w:rsidR="00BF4CA4" w:rsidRDefault="005F2B96">
            <w:pPr>
              <w:pStyle w:val="TableParagraph"/>
              <w:spacing w:line="249" w:lineRule="exact"/>
              <w:ind w:left="141" w:right="112"/>
              <w:jc w:val="center"/>
            </w:pPr>
            <w:r>
              <w:t>(2)</w:t>
            </w:r>
          </w:p>
        </w:tc>
        <w:tc>
          <w:tcPr>
            <w:tcW w:w="10473" w:type="dxa"/>
          </w:tcPr>
          <w:p w:rsidR="00BF4CA4" w:rsidRDefault="005F2B96" w:rsidP="00113B38">
            <w:pPr>
              <w:pStyle w:val="TableParagraph"/>
              <w:ind w:left="133" w:right="203"/>
              <w:jc w:val="both"/>
            </w:pPr>
            <w:r>
              <w:t>Bütçeden katkı alan kurum ve kuruluşların, başka herhangi bir yasa altında yer alan ve yerine getirilmeyen yükümlülüklerinin, mali yıl bütçesinde öngörülen ödenekten kesilmesinde Maliye İşleriyle Görevli Bakanlık yetkilidir.</w:t>
            </w:r>
          </w:p>
        </w:tc>
      </w:tr>
      <w:tr w:rsidR="00BF4CA4">
        <w:trPr>
          <w:trHeight w:val="374"/>
        </w:trPr>
        <w:tc>
          <w:tcPr>
            <w:tcW w:w="2522" w:type="dxa"/>
          </w:tcPr>
          <w:p w:rsidR="00BF4CA4" w:rsidRDefault="005F2B96">
            <w:pPr>
              <w:pStyle w:val="TableParagraph"/>
              <w:spacing w:before="121" w:line="233" w:lineRule="exact"/>
              <w:ind w:left="200"/>
            </w:pPr>
            <w:r>
              <w:t>Yürürlüğe Giriş</w:t>
            </w:r>
          </w:p>
        </w:tc>
        <w:tc>
          <w:tcPr>
            <w:tcW w:w="11812" w:type="dxa"/>
            <w:gridSpan w:val="3"/>
          </w:tcPr>
          <w:p w:rsidR="00BF4CA4" w:rsidRDefault="005F2B96" w:rsidP="00113B38">
            <w:pPr>
              <w:pStyle w:val="TableParagraph"/>
              <w:spacing w:before="121" w:line="233" w:lineRule="exact"/>
              <w:ind w:left="296"/>
              <w:jc w:val="both"/>
            </w:pPr>
            <w:r>
              <w:t>26. Bu Yasa, 1 Ocak 2019 tarihinden başlayarak yürürlüğe girer.</w:t>
            </w:r>
          </w:p>
        </w:tc>
      </w:tr>
    </w:tbl>
    <w:p w:rsidR="005F2B96" w:rsidRDefault="005F2B96"/>
    <w:sectPr w:rsidR="005F2B96">
      <w:pgSz w:w="16840" w:h="11910" w:orient="landscape"/>
      <w:pgMar w:top="1100" w:right="1180" w:bottom="880" w:left="1100" w:header="0" w:footer="6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C7" w:rsidRDefault="000A1BC7">
      <w:r>
        <w:separator/>
      </w:r>
    </w:p>
  </w:endnote>
  <w:endnote w:type="continuationSeparator" w:id="0">
    <w:p w:rsidR="000A1BC7" w:rsidRDefault="000A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A4" w:rsidRDefault="00D94B33">
    <w:pPr>
      <w:pStyle w:val="BodyText"/>
      <w:spacing w:line="14" w:lineRule="auto"/>
      <w:rPr>
        <w:sz w:val="20"/>
      </w:rPr>
    </w:pPr>
    <w:r>
      <w:rPr>
        <w:noProof/>
        <w:lang w:val="tr-TR" w:eastAsia="tr-TR" w:bidi="ar-SA"/>
      </w:rPr>
      <mc:AlternateContent>
        <mc:Choice Requires="wps">
          <w:drawing>
            <wp:anchor distT="0" distB="0" distL="114300" distR="114300" simplePos="0" relativeHeight="251657728" behindDoc="1" locked="0" layoutInCell="1" allowOverlap="1" wp14:anchorId="33BDF11A" wp14:editId="18D73FC6">
              <wp:simplePos x="0" y="0"/>
              <wp:positionH relativeFrom="page">
                <wp:posOffset>5283200</wp:posOffset>
              </wp:positionH>
              <wp:positionV relativeFrom="page">
                <wp:posOffset>6930390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CA4" w:rsidRDefault="005F2B96">
                          <w:pPr>
                            <w:pStyle w:val="BodyText"/>
                            <w:spacing w:before="10"/>
                            <w:ind w:left="40"/>
                          </w:pPr>
                          <w:r>
                            <w:fldChar w:fldCharType="begin"/>
                          </w:r>
                          <w:r>
                            <w:instrText xml:space="preserve"> PAGE </w:instrText>
                          </w:r>
                          <w:r>
                            <w:fldChar w:fldCharType="separate"/>
                          </w:r>
                          <w:r w:rsidR="00A9086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pt;margin-top:545.7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" filled="f" stroked="f">
              <v:textbox inset="0,0,0,0">
                <w:txbxContent>
                  <w:p w:rsidR="00BF4CA4" w:rsidRDefault="005F2B96">
                    <w:pPr>
                      <w:pStyle w:val="BodyText"/>
                      <w:spacing w:before="10"/>
                      <w:ind w:left="40"/>
                    </w:pPr>
                    <w:r>
                      <w:fldChar w:fldCharType="begin"/>
                    </w:r>
                    <w:r>
                      <w:instrText xml:space="preserve"> PAGE </w:instrText>
                    </w:r>
                    <w:r>
                      <w:fldChar w:fldCharType="separate"/>
                    </w:r>
                    <w:r w:rsidR="00A9086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C7" w:rsidRDefault="000A1BC7">
      <w:r>
        <w:separator/>
      </w:r>
    </w:p>
  </w:footnote>
  <w:footnote w:type="continuationSeparator" w:id="0">
    <w:p w:rsidR="000A1BC7" w:rsidRDefault="000A1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4"/>
    <w:rsid w:val="000A1BC7"/>
    <w:rsid w:val="00113B38"/>
    <w:rsid w:val="003405B1"/>
    <w:rsid w:val="003D676D"/>
    <w:rsid w:val="003F4C08"/>
    <w:rsid w:val="004B3E60"/>
    <w:rsid w:val="005B2F5A"/>
    <w:rsid w:val="005F2B96"/>
    <w:rsid w:val="00962D39"/>
    <w:rsid w:val="00A9086A"/>
    <w:rsid w:val="00AB67F8"/>
    <w:rsid w:val="00BF4CA4"/>
    <w:rsid w:val="00CC4DB9"/>
    <w:rsid w:val="00D9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2D39"/>
    <w:rPr>
      <w:rFonts w:ascii="Tahoma" w:hAnsi="Tahoma" w:cs="Tahoma"/>
      <w:sz w:val="16"/>
      <w:szCs w:val="16"/>
    </w:rPr>
  </w:style>
  <w:style w:type="character" w:customStyle="1" w:styleId="BalloonTextChar">
    <w:name w:val="Balloon Text Char"/>
    <w:basedOn w:val="DefaultParagraphFont"/>
    <w:link w:val="BalloonText"/>
    <w:uiPriority w:val="99"/>
    <w:semiHidden/>
    <w:rsid w:val="00962D39"/>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2D39"/>
    <w:rPr>
      <w:rFonts w:ascii="Tahoma" w:hAnsi="Tahoma" w:cs="Tahoma"/>
      <w:sz w:val="16"/>
      <w:szCs w:val="16"/>
    </w:rPr>
  </w:style>
  <w:style w:type="character" w:customStyle="1" w:styleId="BalloonTextChar">
    <w:name w:val="Balloon Text Char"/>
    <w:basedOn w:val="DefaultParagraphFont"/>
    <w:link w:val="BalloonText"/>
    <w:uiPriority w:val="99"/>
    <w:semiHidden/>
    <w:rsid w:val="00962D39"/>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050">
      <w:bodyDiv w:val="1"/>
      <w:marLeft w:val="0"/>
      <w:marRight w:val="0"/>
      <w:marTop w:val="0"/>
      <w:marBottom w:val="0"/>
      <w:divBdr>
        <w:top w:val="none" w:sz="0" w:space="0" w:color="auto"/>
        <w:left w:val="none" w:sz="0" w:space="0" w:color="auto"/>
        <w:bottom w:val="none" w:sz="0" w:space="0" w:color="auto"/>
        <w:right w:val="none" w:sz="0" w:space="0" w:color="auto"/>
      </w:divBdr>
    </w:div>
    <w:div w:id="167615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ozatac</dc:creator>
  <cp:lastModifiedBy>gurkan artun</cp:lastModifiedBy>
  <cp:revision>5</cp:revision>
  <cp:lastPrinted>2018-12-13T09:41:00Z</cp:lastPrinted>
  <dcterms:created xsi:type="dcterms:W3CDTF">2019-01-04T12:57:00Z</dcterms:created>
  <dcterms:modified xsi:type="dcterms:W3CDTF">2019-01-04T13:06:00Z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for Office 365</vt:lpwstr>
  </property>
  <property fmtid="{D5CDD505-2E9C-101B-9397-08002B2CF9AE}" pid="4" name="LastSaved">
    <vt:filetime>2018-12-12T00:00:00Z</vt:filetime>
  </property>
</Properties>
</file>