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640"/>
      </w:tblGrid>
      <w:tr w:rsidR="00AE66DF" w:rsidRPr="00AE66DF" w:rsidTr="00503180">
        <w:tc>
          <w:tcPr>
            <w:tcW w:w="9640" w:type="dxa"/>
            <w:hideMark/>
          </w:tcPr>
          <w:p w:rsidR="00AE66DF" w:rsidRPr="00AE66DF" w:rsidRDefault="00AE66DF" w:rsidP="00AE6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66DF">
              <w:rPr>
                <w:rFonts w:ascii="Calibri" w:eastAsia="Calibri" w:hAnsi="Calibri" w:cs="Times New Roman"/>
                <w:b/>
                <w:bCs/>
                <w:lang w:eastAsia="en-US"/>
              </w:rPr>
              <w:br w:type="page"/>
            </w:r>
            <w:r w:rsidRPr="00AE6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Kuzey Kıbrıs Türk Cumhuriyeti Cumhuriyet Meclisi’nin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26 Şubat</w:t>
            </w:r>
            <w:r w:rsidRPr="00AE6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2019 tarihli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Kırk</w:t>
            </w:r>
            <w:bookmarkStart w:id="0" w:name="_GoBack"/>
            <w:bookmarkEnd w:id="0"/>
            <w:r w:rsidRPr="00AE6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üçüncü Birleşiminde Oybirliğiyle kabul olunan “</w:t>
            </w:r>
            <w:r w:rsidRPr="00AE66DF">
              <w:rPr>
                <w:rFonts w:ascii="Times New Roman" w:hAnsi="Times New Roman" w:cs="Times New Roman"/>
                <w:b/>
                <w:sz w:val="24"/>
                <w:szCs w:val="24"/>
              </w:rPr>
              <w:t>Kuzey Kıbrıs Türk Cumhuriyeti Hükümeti ile Türkiye Cumhuriyeti Hükümeti Arasında Ulusal Sürücü Belgelerinin/Sürüş Ehliyetlerinin Karşılıklı Olarak Tanınması ve Değişimi Anlaşmasına İlişkin (Onay) Yasası</w:t>
            </w:r>
            <w:r w:rsidRPr="00AE6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” Anayasanın 94’üncü maddesinin (1)’inci fıkrası gereğince Kuzey Kıbrıs Türk Cumhuriyeti Cumhurbaşkanı tarafından Resmi Gazete’de yayımlanmak suretiyle ilan olunur.</w:t>
            </w:r>
          </w:p>
        </w:tc>
      </w:tr>
      <w:tr w:rsidR="00AE66DF" w:rsidRPr="00AE66DF" w:rsidTr="00503180">
        <w:trPr>
          <w:trHeight w:val="242"/>
        </w:trPr>
        <w:tc>
          <w:tcPr>
            <w:tcW w:w="9640" w:type="dxa"/>
          </w:tcPr>
          <w:p w:rsidR="00AE66DF" w:rsidRPr="00AE66DF" w:rsidRDefault="00AE66DF" w:rsidP="00AE66D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  <w:tr w:rsidR="00AE66DF" w:rsidRPr="00AE66DF" w:rsidTr="00503180">
        <w:trPr>
          <w:trHeight w:val="242"/>
        </w:trPr>
        <w:tc>
          <w:tcPr>
            <w:tcW w:w="9640" w:type="dxa"/>
          </w:tcPr>
          <w:p w:rsidR="00AE66DF" w:rsidRPr="00AE66DF" w:rsidRDefault="00AE66DF" w:rsidP="00AE66D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  <w:tr w:rsidR="00AE66DF" w:rsidRPr="00AE66DF" w:rsidTr="00503180">
        <w:trPr>
          <w:trHeight w:val="242"/>
        </w:trPr>
        <w:tc>
          <w:tcPr>
            <w:tcW w:w="9640" w:type="dxa"/>
          </w:tcPr>
          <w:p w:rsidR="00AE66DF" w:rsidRPr="00AE66DF" w:rsidRDefault="00AE66DF" w:rsidP="00AE6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Sayı: 12</w:t>
            </w:r>
            <w:r w:rsidRPr="00AE66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/2019</w:t>
            </w:r>
          </w:p>
        </w:tc>
      </w:tr>
      <w:tr w:rsidR="00AE66DF" w:rsidRPr="00AE66DF" w:rsidTr="00503180">
        <w:trPr>
          <w:trHeight w:val="242"/>
        </w:trPr>
        <w:tc>
          <w:tcPr>
            <w:tcW w:w="9640" w:type="dxa"/>
          </w:tcPr>
          <w:p w:rsidR="00AE66DF" w:rsidRDefault="00AE66DF" w:rsidP="00AE6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E66DF" w:rsidRPr="00AE66DF" w:rsidRDefault="00AE66DF" w:rsidP="00AE6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332C8" w:rsidRPr="00E34A14" w:rsidRDefault="00A30EDC" w:rsidP="00980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A14">
        <w:rPr>
          <w:rFonts w:ascii="Times New Roman" w:hAnsi="Times New Roman" w:cs="Times New Roman"/>
          <w:sz w:val="24"/>
          <w:szCs w:val="24"/>
        </w:rPr>
        <w:t>KUZEY KIBRIS TÜRK CUMHURİYETİ HÜKÜMETİ İLE TÜRKİYE CUMHURİYETİ HÜKÜMETİ ARASI</w:t>
      </w:r>
      <w:r w:rsidR="00D10BD9">
        <w:rPr>
          <w:rFonts w:ascii="Times New Roman" w:hAnsi="Times New Roman" w:cs="Times New Roman"/>
          <w:sz w:val="24"/>
          <w:szCs w:val="24"/>
        </w:rPr>
        <w:t>NDA ULUSAL SÜRÜCÜ BELGELERİNİN</w:t>
      </w:r>
      <w:r w:rsidRPr="00E34A14">
        <w:rPr>
          <w:rFonts w:ascii="Times New Roman" w:hAnsi="Times New Roman" w:cs="Times New Roman"/>
          <w:sz w:val="24"/>
          <w:szCs w:val="24"/>
        </w:rPr>
        <w:t xml:space="preserve">/ SÜRÜŞ EHLİYETLERİNİN KARŞILIKLI OLARAK TANINMASI VE DEĞİŞİMİ ANLAŞMASINA İLİŞKİN </w:t>
      </w:r>
      <w:r w:rsidR="008B0ABA" w:rsidRPr="00E34A14">
        <w:rPr>
          <w:rFonts w:ascii="Times New Roman" w:hAnsi="Times New Roman" w:cs="Times New Roman"/>
          <w:sz w:val="24"/>
          <w:szCs w:val="24"/>
        </w:rPr>
        <w:t>(ONAY) Y</w:t>
      </w:r>
      <w:r w:rsidR="00C9769D">
        <w:rPr>
          <w:rFonts w:ascii="Times New Roman" w:hAnsi="Times New Roman" w:cs="Times New Roman"/>
          <w:sz w:val="24"/>
          <w:szCs w:val="24"/>
        </w:rPr>
        <w:t>ASASI</w:t>
      </w:r>
    </w:p>
    <w:p w:rsidR="00C3657E" w:rsidRPr="00C3657E" w:rsidRDefault="00C3657E" w:rsidP="00980FDD">
      <w:pPr>
        <w:spacing w:after="0" w:line="240" w:lineRule="auto"/>
        <w:ind w:hanging="1701"/>
        <w:jc w:val="both"/>
        <w:rPr>
          <w:rFonts w:ascii="Times New Roman" w:hAnsi="Times New Roman" w:cs="Times New Roman"/>
          <w:sz w:val="24"/>
          <w:szCs w:val="24"/>
        </w:rPr>
      </w:pPr>
      <w:r w:rsidRPr="00C3657E">
        <w:rPr>
          <w:rFonts w:ascii="Times New Roman" w:hAnsi="Times New Roman" w:cs="Times New Roman"/>
          <w:sz w:val="24"/>
          <w:szCs w:val="24"/>
        </w:rPr>
        <w:tab/>
      </w:r>
      <w:r w:rsidRPr="00C365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498"/>
      </w:tblGrid>
      <w:tr w:rsidR="006C78AD" w:rsidRPr="00C3657E" w:rsidTr="00D16570">
        <w:tc>
          <w:tcPr>
            <w:tcW w:w="1790" w:type="dxa"/>
          </w:tcPr>
          <w:p w:rsidR="006C78AD" w:rsidRPr="00A97075" w:rsidRDefault="006C78AD" w:rsidP="0098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A97075" w:rsidRPr="00A97075" w:rsidRDefault="00980FDD" w:rsidP="00980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80FDD">
              <w:rPr>
                <w:rFonts w:ascii="Times New Roman" w:hAnsi="Times New Roman" w:cs="Times New Roman"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980FDD" w:rsidRPr="00C3657E" w:rsidTr="00D16570">
        <w:tc>
          <w:tcPr>
            <w:tcW w:w="1790" w:type="dxa"/>
          </w:tcPr>
          <w:p w:rsidR="00980FDD" w:rsidRPr="00A97075" w:rsidRDefault="00980FDD" w:rsidP="0098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980FDD" w:rsidRPr="00980FDD" w:rsidRDefault="00980FDD" w:rsidP="00980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DD" w:rsidRPr="00C3657E" w:rsidTr="00D16570">
        <w:tc>
          <w:tcPr>
            <w:tcW w:w="1790" w:type="dxa"/>
          </w:tcPr>
          <w:p w:rsidR="00980FDD" w:rsidRPr="00A97075" w:rsidRDefault="00980FDD" w:rsidP="0098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D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</w:tc>
        <w:tc>
          <w:tcPr>
            <w:tcW w:w="7498" w:type="dxa"/>
          </w:tcPr>
          <w:p w:rsidR="00980FDD" w:rsidRPr="000439A8" w:rsidRDefault="000439A8" w:rsidP="0004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FDD" w:rsidRPr="000439A8">
              <w:rPr>
                <w:rFonts w:ascii="Times New Roman" w:hAnsi="Times New Roman" w:cs="Times New Roman"/>
                <w:sz w:val="24"/>
                <w:szCs w:val="24"/>
              </w:rPr>
              <w:t xml:space="preserve">Bu Yasa, Kuzey Kıbrıs Türk Cumhuriyeti Hükümeti ile Türkiye Cumhuriyeti Hükümeti Arasında Ulusal Sürücü Belgelerinin/Sürüş Ehliyetlerinin Karşılıklı Olarak Tanınması ve Değişimi Anlaşmasına İlişkin (Onay) Yasası olarak isimlendirilir.  </w:t>
            </w:r>
          </w:p>
        </w:tc>
      </w:tr>
      <w:tr w:rsidR="00980FDD" w:rsidRPr="00C3657E" w:rsidTr="00D16570">
        <w:tc>
          <w:tcPr>
            <w:tcW w:w="1790" w:type="dxa"/>
          </w:tcPr>
          <w:p w:rsidR="00980FDD" w:rsidRPr="00980FDD" w:rsidRDefault="00980FDD" w:rsidP="0098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980FDD" w:rsidRDefault="00980FDD" w:rsidP="00980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AD" w:rsidRPr="00C3657E" w:rsidTr="00D16570">
        <w:tc>
          <w:tcPr>
            <w:tcW w:w="1790" w:type="dxa"/>
          </w:tcPr>
          <w:p w:rsidR="006C78AD" w:rsidRPr="00A97075" w:rsidRDefault="00037A22" w:rsidP="0098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</w:tc>
        <w:tc>
          <w:tcPr>
            <w:tcW w:w="7498" w:type="dxa"/>
          </w:tcPr>
          <w:p w:rsidR="00A97075" w:rsidRPr="00A97075" w:rsidRDefault="00037A22" w:rsidP="00980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2. Bu Yasanın amacı, Kuzey Kıbrıs Türk Cumhuriyeti Hükümeti ile Türkiye Cumhuriyeti Hükümeti arasında</w:t>
            </w:r>
            <w:r w:rsidR="00B329D4"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 ulusal sürücü belgelerinin/sürüş ehliyetlerinin</w:t>
            </w:r>
            <w:r w:rsidR="00475FCF"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 karşılıklı tanınması</w:t>
            </w:r>
            <w:r w:rsidR="008B0ABA">
              <w:rPr>
                <w:rFonts w:ascii="Times New Roman" w:hAnsi="Times New Roman" w:cs="Times New Roman"/>
                <w:sz w:val="24"/>
                <w:szCs w:val="24"/>
              </w:rPr>
              <w:t xml:space="preserve"> ve değişimi</w:t>
            </w:r>
            <w:r w:rsidR="00475FCF"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9D4"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uluslararası yükümlülüklere saygı göstererek, </w:t>
            </w:r>
            <w:r w:rsidR="00475FCF"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ikili </w:t>
            </w:r>
            <w:r w:rsidR="00DD3F20" w:rsidRPr="00A97075">
              <w:rPr>
                <w:rFonts w:ascii="Times New Roman" w:hAnsi="Times New Roman" w:cs="Times New Roman"/>
                <w:sz w:val="24"/>
                <w:szCs w:val="24"/>
              </w:rPr>
              <w:t>ilişkileri ve işbirliğini gü</w:t>
            </w:r>
            <w:r w:rsidR="008B0ABA">
              <w:rPr>
                <w:rFonts w:ascii="Times New Roman" w:hAnsi="Times New Roman" w:cs="Times New Roman"/>
                <w:sz w:val="24"/>
                <w:szCs w:val="24"/>
              </w:rPr>
              <w:t xml:space="preserve">çlendirmek, güvenliği artırmak ve </w:t>
            </w:r>
            <w:r w:rsidR="00DD3F20"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karayolları taşımacılığını geliştirmektir. </w:t>
            </w:r>
          </w:p>
        </w:tc>
      </w:tr>
      <w:tr w:rsidR="00980FDD" w:rsidRPr="00C3657E" w:rsidTr="00D16570">
        <w:tc>
          <w:tcPr>
            <w:tcW w:w="1790" w:type="dxa"/>
          </w:tcPr>
          <w:p w:rsidR="00980FDD" w:rsidRPr="00A97075" w:rsidRDefault="00980FDD" w:rsidP="0098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980FDD" w:rsidRPr="00A97075" w:rsidRDefault="00980FDD" w:rsidP="00980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AD" w:rsidRPr="00C3657E" w:rsidTr="00D16570">
        <w:tc>
          <w:tcPr>
            <w:tcW w:w="1790" w:type="dxa"/>
          </w:tcPr>
          <w:p w:rsidR="006C78AD" w:rsidRPr="00A97075" w:rsidRDefault="00DD3F20" w:rsidP="0004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Anlaşmanın Onaylanmasının Uygun Bulunması Cetvel</w:t>
            </w:r>
          </w:p>
        </w:tc>
        <w:tc>
          <w:tcPr>
            <w:tcW w:w="7498" w:type="dxa"/>
          </w:tcPr>
          <w:p w:rsidR="00A97075" w:rsidRPr="00A97075" w:rsidRDefault="00DD3F20" w:rsidP="00C4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3. Kuzey Kıbrıs Türk Cumhuriyeti Cumhuriyet Meclisi, Kuzey Kıbrıs Türk Cumhuriyeti Hükümeti ile Türkiye Cumhuriyeti Hükümeti arasında </w:t>
            </w:r>
            <w:r w:rsidR="000439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8554B"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23 Ocak 2019 tarihinde Türkiye Cumhuriyeti’nde imzalanan </w:t>
            </w:r>
            <w:r w:rsidR="00C826FC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B329D4"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C4215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329D4" w:rsidRPr="00A97075">
              <w:rPr>
                <w:rFonts w:ascii="Times New Roman" w:hAnsi="Times New Roman" w:cs="Times New Roman"/>
                <w:sz w:val="24"/>
                <w:szCs w:val="24"/>
              </w:rPr>
              <w:t>asaya ekli Cetvelde metni yazılı Kuzey Kıbrıs Türk Cumhuriyeti Hükümeti ile Türkiye Cumhuriyeti Hükümeti Arasında Ulusal Sürücü Belgelerinin/ Sürüş Ehliyetlerinin Karşılıklı Olarak Ta</w:t>
            </w:r>
            <w:r w:rsidR="00A97075"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nınması ve Değişimi Anlaşmasını uygun bulur. </w:t>
            </w:r>
            <w:r w:rsidR="00C8554B"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C27" w:rsidRPr="00C3657E" w:rsidTr="00D16570">
        <w:tc>
          <w:tcPr>
            <w:tcW w:w="1790" w:type="dxa"/>
          </w:tcPr>
          <w:p w:rsidR="002D3C27" w:rsidRPr="00A97075" w:rsidRDefault="002D3C27" w:rsidP="0004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2D3C27" w:rsidRPr="00A97075" w:rsidRDefault="002D3C27" w:rsidP="002D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AD" w:rsidRPr="00C3657E" w:rsidTr="00D16570">
        <w:tc>
          <w:tcPr>
            <w:tcW w:w="1790" w:type="dxa"/>
          </w:tcPr>
          <w:p w:rsidR="006C78AD" w:rsidRPr="00A97075" w:rsidRDefault="00A97075" w:rsidP="0098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Yürütme Yetkisi</w:t>
            </w:r>
          </w:p>
        </w:tc>
        <w:tc>
          <w:tcPr>
            <w:tcW w:w="7498" w:type="dxa"/>
          </w:tcPr>
          <w:p w:rsidR="006C78AD" w:rsidRPr="00A97075" w:rsidRDefault="00A97075" w:rsidP="002D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4. Bu Yasa, Bakanlar Kurulu Adına Ulaştırma </w:t>
            </w:r>
            <w:r w:rsidR="002D3C27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şleri</w:t>
            </w:r>
            <w:r w:rsidR="002D3C27">
              <w:rPr>
                <w:rFonts w:ascii="Times New Roman" w:hAnsi="Times New Roman" w:cs="Times New Roman"/>
                <w:sz w:val="24"/>
                <w:szCs w:val="24"/>
              </w:rPr>
              <w:t>yle G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örevli Bakanlık tarafından yürütülür. </w:t>
            </w:r>
          </w:p>
        </w:tc>
      </w:tr>
      <w:tr w:rsidR="002D3C27" w:rsidRPr="00C3657E" w:rsidTr="00D16570">
        <w:tc>
          <w:tcPr>
            <w:tcW w:w="1790" w:type="dxa"/>
          </w:tcPr>
          <w:p w:rsidR="002D3C27" w:rsidRPr="00A97075" w:rsidRDefault="002D3C27" w:rsidP="0098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2D3C27" w:rsidRPr="00A97075" w:rsidRDefault="002D3C27" w:rsidP="002D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AD" w:rsidTr="00D16570">
        <w:tc>
          <w:tcPr>
            <w:tcW w:w="1790" w:type="dxa"/>
          </w:tcPr>
          <w:p w:rsidR="006C78AD" w:rsidRPr="00A97075" w:rsidRDefault="00A97075" w:rsidP="0098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498" w:type="dxa"/>
          </w:tcPr>
          <w:p w:rsidR="006C78AD" w:rsidRPr="00A97075" w:rsidRDefault="00A97075" w:rsidP="00D2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5. Bu Yasa kuralları, Resmi Gazete’de yayımlandığı tarihten başlayarak</w:t>
            </w:r>
            <w:r w:rsidR="002D3C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 bu Yasa ile onaylanan ekli </w:t>
            </w:r>
            <w:r w:rsidR="00D25F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etveldeki An</w:t>
            </w:r>
            <w:r w:rsidR="002D3C2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laşma kuralları ise</w:t>
            </w:r>
            <w:r w:rsidR="00F05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3C27">
              <w:rPr>
                <w:rFonts w:ascii="Times New Roman" w:hAnsi="Times New Roman" w:cs="Times New Roman"/>
                <w:sz w:val="24"/>
                <w:szCs w:val="24"/>
              </w:rPr>
              <w:t xml:space="preserve">tarafların </w:t>
            </w:r>
            <w:r w:rsidR="00F05064">
              <w:rPr>
                <w:rFonts w:ascii="Times New Roman" w:hAnsi="Times New Roman" w:cs="Times New Roman"/>
                <w:sz w:val="24"/>
                <w:szCs w:val="24"/>
              </w:rPr>
              <w:t xml:space="preserve">gerekli iç </w:t>
            </w:r>
            <w:r w:rsidR="002D3C2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05064">
              <w:rPr>
                <w:rFonts w:ascii="Times New Roman" w:hAnsi="Times New Roman" w:cs="Times New Roman"/>
                <w:sz w:val="24"/>
                <w:szCs w:val="24"/>
              </w:rPr>
              <w:t xml:space="preserve">asal usullerin tamamlandığını birbirlerine diplomatik yollarla bildirdikleri son yazılı bildirimin alındığı 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tarihte yürürlüğe girer.  </w:t>
            </w:r>
          </w:p>
        </w:tc>
      </w:tr>
    </w:tbl>
    <w:p w:rsidR="006C78AD" w:rsidRDefault="006C78AD" w:rsidP="00980FDD">
      <w:pPr>
        <w:spacing w:after="0" w:line="240" w:lineRule="auto"/>
      </w:pPr>
    </w:p>
    <w:sectPr w:rsidR="006C78AD" w:rsidSect="003116F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C9A"/>
    <w:multiLevelType w:val="hybridMultilevel"/>
    <w:tmpl w:val="B13E2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6C97"/>
    <w:multiLevelType w:val="hybridMultilevel"/>
    <w:tmpl w:val="4A82C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C1456"/>
    <w:multiLevelType w:val="hybridMultilevel"/>
    <w:tmpl w:val="1618D4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762FA"/>
    <w:multiLevelType w:val="hybridMultilevel"/>
    <w:tmpl w:val="5FF23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16DE"/>
    <w:multiLevelType w:val="hybridMultilevel"/>
    <w:tmpl w:val="954859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DC"/>
    <w:rsid w:val="00037A22"/>
    <w:rsid w:val="000439A8"/>
    <w:rsid w:val="00070497"/>
    <w:rsid w:val="002062B1"/>
    <w:rsid w:val="002D3C27"/>
    <w:rsid w:val="003116F2"/>
    <w:rsid w:val="00475FCF"/>
    <w:rsid w:val="00695521"/>
    <w:rsid w:val="006C78AD"/>
    <w:rsid w:val="007332C8"/>
    <w:rsid w:val="008B0ABA"/>
    <w:rsid w:val="00912808"/>
    <w:rsid w:val="00980FDD"/>
    <w:rsid w:val="009B7ACA"/>
    <w:rsid w:val="009C250D"/>
    <w:rsid w:val="00A30EDC"/>
    <w:rsid w:val="00A50F60"/>
    <w:rsid w:val="00A97075"/>
    <w:rsid w:val="00AE66DF"/>
    <w:rsid w:val="00B329D4"/>
    <w:rsid w:val="00BA0CB3"/>
    <w:rsid w:val="00C3657E"/>
    <w:rsid w:val="00C4215C"/>
    <w:rsid w:val="00C826FC"/>
    <w:rsid w:val="00C8554B"/>
    <w:rsid w:val="00C9769D"/>
    <w:rsid w:val="00D10BD9"/>
    <w:rsid w:val="00D16570"/>
    <w:rsid w:val="00D25FB5"/>
    <w:rsid w:val="00D47559"/>
    <w:rsid w:val="00DD3F20"/>
    <w:rsid w:val="00E34A14"/>
    <w:rsid w:val="00E772E3"/>
    <w:rsid w:val="00F0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Pınar Gündüz</cp:lastModifiedBy>
  <cp:revision>3</cp:revision>
  <cp:lastPrinted>2019-02-27T12:03:00Z</cp:lastPrinted>
  <dcterms:created xsi:type="dcterms:W3CDTF">2019-03-19T08:38:00Z</dcterms:created>
  <dcterms:modified xsi:type="dcterms:W3CDTF">2019-03-19T08:42:00Z</dcterms:modified>
</cp:coreProperties>
</file>